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FB" w:rsidRPr="00FB4180" w:rsidRDefault="00CA52FB" w:rsidP="00CA52F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B4180">
        <w:rPr>
          <w:b/>
          <w:sz w:val="28"/>
          <w:szCs w:val="28"/>
        </w:rPr>
        <w:t>КОНТРОЛЬНО-СЧЕТН</w:t>
      </w:r>
      <w:r>
        <w:rPr>
          <w:b/>
          <w:sz w:val="28"/>
          <w:szCs w:val="28"/>
        </w:rPr>
        <w:t>АЯ ПАЛАТА ГОРОДА ЖЕЛЕЗНОГОРСКА КУРСКОЙ ОБЛАСТИ</w:t>
      </w:r>
    </w:p>
    <w:p w:rsidR="00CA52FB" w:rsidRPr="00AA5235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AA6D68" w:rsidRDefault="00AA6D68" w:rsidP="00CA52FB">
      <w:pPr>
        <w:spacing w:line="360" w:lineRule="auto"/>
        <w:jc w:val="center"/>
        <w:rPr>
          <w:szCs w:val="28"/>
        </w:rPr>
      </w:pPr>
    </w:p>
    <w:p w:rsidR="003726C9" w:rsidRDefault="003726C9" w:rsidP="00CA52FB">
      <w:pPr>
        <w:spacing w:line="360" w:lineRule="auto"/>
        <w:jc w:val="center"/>
        <w:rPr>
          <w:szCs w:val="28"/>
        </w:rPr>
      </w:pPr>
    </w:p>
    <w:p w:rsidR="00CA52FB" w:rsidRPr="00AA6D68" w:rsidRDefault="00CA52FB" w:rsidP="00CA52FB">
      <w:pPr>
        <w:spacing w:line="360" w:lineRule="auto"/>
        <w:jc w:val="center"/>
        <w:rPr>
          <w:b/>
          <w:sz w:val="28"/>
          <w:szCs w:val="28"/>
        </w:rPr>
      </w:pPr>
      <w:r w:rsidRPr="00AA6D68">
        <w:rPr>
          <w:b/>
          <w:sz w:val="28"/>
          <w:szCs w:val="28"/>
        </w:rPr>
        <w:t>С</w:t>
      </w:r>
      <w:r w:rsidR="000A6F94">
        <w:rPr>
          <w:b/>
          <w:sz w:val="28"/>
          <w:szCs w:val="28"/>
        </w:rPr>
        <w:t>МА</w:t>
      </w:r>
      <w:r w:rsidRPr="00AA6D68">
        <w:rPr>
          <w:b/>
          <w:sz w:val="28"/>
          <w:szCs w:val="28"/>
        </w:rPr>
        <w:t xml:space="preserve"> </w:t>
      </w:r>
      <w:r w:rsidR="000A6F94">
        <w:rPr>
          <w:b/>
          <w:sz w:val="28"/>
          <w:szCs w:val="28"/>
        </w:rPr>
        <w:t>1</w:t>
      </w:r>
      <w:r w:rsidRPr="00AA6D68">
        <w:rPr>
          <w:b/>
          <w:sz w:val="28"/>
          <w:szCs w:val="28"/>
        </w:rPr>
        <w:t>. СТАНДАРТ ВНЕШНЕГО МУНИЦИПАЛЬНОГО АУДИТА (КОНТРОЛЯ)</w:t>
      </w:r>
    </w:p>
    <w:p w:rsidR="00CA52FB" w:rsidRPr="00AA6D68" w:rsidRDefault="00CA52FB" w:rsidP="00CA5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D68">
        <w:rPr>
          <w:rFonts w:ascii="Times New Roman" w:hAnsi="Times New Roman" w:cs="Times New Roman"/>
          <w:sz w:val="28"/>
          <w:szCs w:val="28"/>
        </w:rPr>
        <w:t xml:space="preserve">СМА </w:t>
      </w:r>
      <w:r w:rsidR="000A6F94">
        <w:rPr>
          <w:rFonts w:ascii="Times New Roman" w:hAnsi="Times New Roman" w:cs="Times New Roman"/>
          <w:sz w:val="28"/>
          <w:szCs w:val="28"/>
        </w:rPr>
        <w:t>1.</w:t>
      </w:r>
      <w:r w:rsidRPr="00AA6D68">
        <w:rPr>
          <w:rFonts w:ascii="Times New Roman" w:hAnsi="Times New Roman" w:cs="Times New Roman"/>
          <w:sz w:val="28"/>
          <w:szCs w:val="28"/>
        </w:rPr>
        <w:t xml:space="preserve">  «ПРОВЕРКА И АНАЛИЗ</w:t>
      </w:r>
    </w:p>
    <w:p w:rsidR="00CA52FB" w:rsidRPr="00AA6D68" w:rsidRDefault="00CA52FB" w:rsidP="00CA5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D68">
        <w:rPr>
          <w:rFonts w:ascii="Times New Roman" w:hAnsi="Times New Roman" w:cs="Times New Roman"/>
          <w:sz w:val="28"/>
          <w:szCs w:val="28"/>
        </w:rPr>
        <w:t>ЭФФЕКТИВНОСТИ ВНУТРЕННЕГО ФИНАНСОВОГО АУДИТА»</w:t>
      </w:r>
    </w:p>
    <w:p w:rsidR="00CA52FB" w:rsidRPr="00AA6D68" w:rsidRDefault="00CA52FB" w:rsidP="00CA52FB">
      <w:pPr>
        <w:jc w:val="center"/>
        <w:rPr>
          <w:b/>
          <w:sz w:val="28"/>
          <w:szCs w:val="28"/>
        </w:rPr>
      </w:pPr>
    </w:p>
    <w:p w:rsidR="00C42D62" w:rsidRDefault="00CA52FB" w:rsidP="00CA52FB">
      <w:pPr>
        <w:jc w:val="center"/>
        <w:rPr>
          <w:sz w:val="28"/>
          <w:szCs w:val="28"/>
        </w:rPr>
      </w:pPr>
      <w:proofErr w:type="gramStart"/>
      <w:r w:rsidRPr="00AA6D68">
        <w:rPr>
          <w:sz w:val="28"/>
          <w:szCs w:val="28"/>
        </w:rPr>
        <w:t>(</w:t>
      </w:r>
      <w:r w:rsidR="00C42D62">
        <w:rPr>
          <w:sz w:val="28"/>
          <w:szCs w:val="28"/>
        </w:rPr>
        <w:t xml:space="preserve">одобрен Коллегией Контрольно-счетной палаты города Железногорска (решение № 31 от 30.11.2020), </w:t>
      </w:r>
      <w:r w:rsidRPr="00AA6D68">
        <w:rPr>
          <w:sz w:val="28"/>
          <w:szCs w:val="28"/>
        </w:rPr>
        <w:t>утвержден распоряжением председателя Контрольно-счетной пала</w:t>
      </w:r>
      <w:bookmarkStart w:id="0" w:name="_GoBack"/>
      <w:bookmarkEnd w:id="0"/>
      <w:r w:rsidRPr="00AA6D68">
        <w:rPr>
          <w:sz w:val="28"/>
          <w:szCs w:val="28"/>
        </w:rPr>
        <w:t xml:space="preserve">ты города Железногорска </w:t>
      </w:r>
      <w:proofErr w:type="gramEnd"/>
    </w:p>
    <w:p w:rsidR="00CA52FB" w:rsidRPr="00AA6D68" w:rsidRDefault="00CA52FB" w:rsidP="00CA52FB">
      <w:pPr>
        <w:jc w:val="center"/>
        <w:rPr>
          <w:sz w:val="28"/>
          <w:szCs w:val="28"/>
        </w:rPr>
      </w:pPr>
      <w:r w:rsidRPr="00AA6D68">
        <w:rPr>
          <w:sz w:val="28"/>
          <w:szCs w:val="28"/>
        </w:rPr>
        <w:t xml:space="preserve">от </w:t>
      </w:r>
      <w:r w:rsidR="00C42D62">
        <w:rPr>
          <w:sz w:val="28"/>
          <w:szCs w:val="28"/>
        </w:rPr>
        <w:t>01</w:t>
      </w:r>
      <w:r w:rsidRPr="00AA6D68">
        <w:rPr>
          <w:sz w:val="28"/>
          <w:szCs w:val="28"/>
        </w:rPr>
        <w:t xml:space="preserve"> </w:t>
      </w:r>
      <w:r w:rsidR="00C42D62">
        <w:rPr>
          <w:sz w:val="28"/>
          <w:szCs w:val="28"/>
        </w:rPr>
        <w:t>декабря</w:t>
      </w:r>
      <w:r w:rsidRPr="00AA6D68">
        <w:rPr>
          <w:sz w:val="28"/>
          <w:szCs w:val="28"/>
        </w:rPr>
        <w:t xml:space="preserve"> 2020 г. № </w:t>
      </w:r>
      <w:r w:rsidR="003726C9">
        <w:rPr>
          <w:sz w:val="28"/>
          <w:szCs w:val="28"/>
        </w:rPr>
        <w:t>85</w:t>
      </w:r>
      <w:r w:rsidRPr="00AA6D68">
        <w:rPr>
          <w:sz w:val="28"/>
          <w:szCs w:val="28"/>
        </w:rPr>
        <w:t>)</w:t>
      </w:r>
    </w:p>
    <w:p w:rsidR="00CA52FB" w:rsidRPr="00AA5235" w:rsidRDefault="00CA52FB" w:rsidP="00CA52FB">
      <w:pPr>
        <w:spacing w:line="360" w:lineRule="auto"/>
        <w:jc w:val="center"/>
        <w:rPr>
          <w:szCs w:val="28"/>
        </w:rPr>
      </w:pPr>
    </w:p>
    <w:p w:rsidR="00CA52FB" w:rsidRPr="00AA5235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Pr="00AA5235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right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CA52FB" w:rsidRDefault="00CA52FB" w:rsidP="00CA52FB">
      <w:pPr>
        <w:spacing w:line="360" w:lineRule="auto"/>
        <w:jc w:val="center"/>
        <w:rPr>
          <w:szCs w:val="28"/>
        </w:rPr>
      </w:pPr>
    </w:p>
    <w:p w:rsidR="003726C9" w:rsidRDefault="003726C9" w:rsidP="00CA52FB">
      <w:pPr>
        <w:spacing w:line="360" w:lineRule="auto"/>
        <w:jc w:val="center"/>
        <w:rPr>
          <w:szCs w:val="28"/>
        </w:rPr>
      </w:pPr>
    </w:p>
    <w:p w:rsidR="00CA52FB" w:rsidRPr="00D82179" w:rsidRDefault="00CA52FB" w:rsidP="00CA52FB">
      <w:pPr>
        <w:jc w:val="center"/>
        <w:rPr>
          <w:sz w:val="28"/>
          <w:szCs w:val="28"/>
        </w:rPr>
      </w:pPr>
      <w:r w:rsidRPr="00D82179">
        <w:rPr>
          <w:sz w:val="28"/>
          <w:szCs w:val="28"/>
        </w:rPr>
        <w:t>Курская область</w:t>
      </w:r>
    </w:p>
    <w:p w:rsidR="00CA52FB" w:rsidRPr="00D82179" w:rsidRDefault="00CA52FB" w:rsidP="00CA52FB">
      <w:pPr>
        <w:jc w:val="center"/>
        <w:rPr>
          <w:sz w:val="28"/>
          <w:szCs w:val="28"/>
        </w:rPr>
      </w:pPr>
      <w:r w:rsidRPr="00D82179">
        <w:rPr>
          <w:sz w:val="28"/>
          <w:szCs w:val="28"/>
        </w:rPr>
        <w:t>Железногорск</w:t>
      </w:r>
    </w:p>
    <w:p w:rsidR="00CA52FB" w:rsidRPr="00D82179" w:rsidRDefault="00CA52FB" w:rsidP="00CA52FB">
      <w:pPr>
        <w:jc w:val="center"/>
        <w:rPr>
          <w:sz w:val="28"/>
          <w:szCs w:val="28"/>
        </w:rPr>
      </w:pPr>
      <w:r w:rsidRPr="00D8217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82179">
        <w:rPr>
          <w:sz w:val="28"/>
          <w:szCs w:val="28"/>
        </w:rPr>
        <w:t xml:space="preserve"> год</w:t>
      </w:r>
    </w:p>
    <w:p w:rsidR="004F1EAD" w:rsidRPr="00355AFF" w:rsidRDefault="00CA52FB" w:rsidP="00355A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4F1EAD" w:rsidRPr="00355AFF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A6F94" w:rsidRPr="00355AFF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аудита (контроля) СМА 1 «Проверка и анализ эффективности внутреннего финансового аудита» разработан на основании </w:t>
      </w:r>
      <w:r w:rsidRPr="00355AFF">
        <w:rPr>
          <w:rFonts w:ascii="Times New Roman" w:hAnsi="Times New Roman" w:cs="Times New Roman"/>
          <w:sz w:val="28"/>
          <w:szCs w:val="28"/>
        </w:rPr>
        <w:t>Стандарт</w:t>
      </w:r>
      <w:r w:rsidR="000A6F94" w:rsidRPr="00355AFF">
        <w:rPr>
          <w:rFonts w:ascii="Times New Roman" w:hAnsi="Times New Roman" w:cs="Times New Roman"/>
          <w:sz w:val="28"/>
          <w:szCs w:val="28"/>
        </w:rPr>
        <w:t>а</w:t>
      </w:r>
      <w:r w:rsidRPr="00355AFF">
        <w:rPr>
          <w:rFonts w:ascii="Times New Roman" w:hAnsi="Times New Roman" w:cs="Times New Roman"/>
          <w:sz w:val="28"/>
          <w:szCs w:val="28"/>
        </w:rPr>
        <w:t xml:space="preserve"> внешнего государствен</w:t>
      </w:r>
      <w:r w:rsidR="000A6F94" w:rsidRPr="00355AFF">
        <w:rPr>
          <w:rFonts w:ascii="Times New Roman" w:hAnsi="Times New Roman" w:cs="Times New Roman"/>
          <w:sz w:val="28"/>
          <w:szCs w:val="28"/>
        </w:rPr>
        <w:t>ного аудита (контроля) СГА 311 «</w:t>
      </w:r>
      <w:r w:rsidRPr="00355AFF">
        <w:rPr>
          <w:rFonts w:ascii="Times New Roman" w:hAnsi="Times New Roman" w:cs="Times New Roman"/>
          <w:sz w:val="28"/>
          <w:szCs w:val="28"/>
        </w:rPr>
        <w:t xml:space="preserve">Проверка и анализ эффективности внутреннего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0A6F94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ого аудита»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Стандарт) разработан в соответствии с требованиями Федерального </w:t>
      </w:r>
      <w:hyperlink r:id="rId8" w:history="1"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5EB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от 07.02.2011 № 6-ФЗ (ред. от 27.12.2018)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="00107096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</w:t>
      </w:r>
      <w:r w:rsidR="00DD55EB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№ 6-ФЗ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Бюджетного </w:t>
      </w:r>
      <w:hyperlink r:id="rId9" w:history="1"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(далее - Бюджетный кодекс), иных нормативных правовых актов Российской Федерации, стандартов внешнего </w:t>
      </w:r>
      <w:r w:rsidR="00DD55EB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финансового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контроля, </w:t>
      </w:r>
      <w:r w:rsidRPr="00355AFF">
        <w:rPr>
          <w:rFonts w:ascii="Times New Roman" w:hAnsi="Times New Roman" w:cs="Times New Roman"/>
          <w:sz w:val="28"/>
          <w:szCs w:val="28"/>
        </w:rPr>
        <w:t xml:space="preserve">осуществляемого </w:t>
      </w:r>
      <w:r w:rsidR="00DD55EB" w:rsidRPr="00355AFF">
        <w:rPr>
          <w:rFonts w:ascii="Times New Roman" w:hAnsi="Times New Roman" w:cs="Times New Roman"/>
          <w:sz w:val="28"/>
          <w:szCs w:val="28"/>
        </w:rPr>
        <w:t>Контрольно-с</w:t>
      </w:r>
      <w:r w:rsidRPr="00355AFF">
        <w:rPr>
          <w:rFonts w:ascii="Times New Roman" w:hAnsi="Times New Roman" w:cs="Times New Roman"/>
          <w:sz w:val="28"/>
          <w:szCs w:val="28"/>
        </w:rPr>
        <w:t xml:space="preserve">четной палатой </w:t>
      </w:r>
      <w:r w:rsidR="00DD55EB" w:rsidRPr="00355AFF">
        <w:rPr>
          <w:rFonts w:ascii="Times New Roman" w:hAnsi="Times New Roman" w:cs="Times New Roman"/>
          <w:sz w:val="28"/>
          <w:szCs w:val="28"/>
        </w:rPr>
        <w:t>города Железногорска Курской области</w:t>
      </w:r>
      <w:r w:rsidRPr="00355A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D55EB" w:rsidRPr="00355AFF">
        <w:rPr>
          <w:rFonts w:ascii="Times New Roman" w:hAnsi="Times New Roman" w:cs="Times New Roman"/>
          <w:sz w:val="28"/>
          <w:szCs w:val="28"/>
        </w:rPr>
        <w:t>–</w:t>
      </w:r>
      <w:r w:rsidRPr="00355AFF">
        <w:rPr>
          <w:rFonts w:ascii="Times New Roman" w:hAnsi="Times New Roman" w:cs="Times New Roman"/>
          <w:sz w:val="28"/>
          <w:szCs w:val="28"/>
        </w:rPr>
        <w:t xml:space="preserve"> </w:t>
      </w:r>
      <w:r w:rsidR="00DD55EB" w:rsidRPr="00355AFF">
        <w:rPr>
          <w:rFonts w:ascii="Times New Roman" w:hAnsi="Times New Roman" w:cs="Times New Roman"/>
          <w:sz w:val="28"/>
          <w:szCs w:val="28"/>
        </w:rPr>
        <w:t>КСП</w:t>
      </w:r>
      <w:r w:rsidRPr="00355AFF">
        <w:rPr>
          <w:rFonts w:ascii="Times New Roman" w:hAnsi="Times New Roman" w:cs="Times New Roman"/>
          <w:sz w:val="28"/>
          <w:szCs w:val="28"/>
        </w:rPr>
        <w:t>).</w:t>
      </w:r>
    </w:p>
    <w:p w:rsidR="004F1EAD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55AFF">
        <w:rPr>
          <w:rFonts w:ascii="Times New Roman" w:hAnsi="Times New Roman" w:cs="Times New Roman"/>
          <w:sz w:val="28"/>
          <w:szCs w:val="28"/>
        </w:rPr>
        <w:t xml:space="preserve">Стандарт предназначен для методологического обеспечения реализации функции </w:t>
      </w:r>
      <w:r w:rsidR="00DD55EB" w:rsidRPr="00355AFF">
        <w:rPr>
          <w:rFonts w:ascii="Times New Roman" w:hAnsi="Times New Roman" w:cs="Times New Roman"/>
          <w:sz w:val="28"/>
          <w:szCs w:val="28"/>
        </w:rPr>
        <w:t>КСП</w:t>
      </w:r>
      <w:r w:rsidRPr="00355AFF">
        <w:rPr>
          <w:rFonts w:ascii="Times New Roman" w:hAnsi="Times New Roman" w:cs="Times New Roman"/>
          <w:sz w:val="28"/>
          <w:szCs w:val="28"/>
        </w:rPr>
        <w:t xml:space="preserve"> по проверке и анализу эффективности внутреннего аудита, осуществляемого в объектах внешнего </w:t>
      </w:r>
      <w:r w:rsidR="00DD55EB" w:rsidRPr="00355A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AFF">
        <w:rPr>
          <w:rFonts w:ascii="Times New Roman" w:hAnsi="Times New Roman" w:cs="Times New Roman"/>
          <w:sz w:val="28"/>
          <w:szCs w:val="28"/>
        </w:rPr>
        <w:t xml:space="preserve"> аудита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(контроля) (</w:t>
      </w:r>
      <w:r w:rsidR="00EA3266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часть 2 статьи 157</w:t>
      </w:r>
      <w:r w:rsidR="00BD76EE">
        <w:rPr>
          <w:rFonts w:ascii="Times New Roman" w:hAnsi="Times New Roman" w:cs="Times New Roman"/>
          <w:color w:val="000000" w:themeColor="text1"/>
          <w:sz w:val="28"/>
          <w:szCs w:val="28"/>
        </w:rPr>
        <w:t>, статья 270.2</w:t>
      </w:r>
      <w:r w:rsidR="00EA3266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части проверки и </w:t>
      </w:r>
      <w:r w:rsidRPr="00355AFF">
        <w:rPr>
          <w:rFonts w:ascii="Times New Roman" w:hAnsi="Times New Roman" w:cs="Times New Roman"/>
          <w:sz w:val="28"/>
          <w:szCs w:val="28"/>
        </w:rPr>
        <w:t xml:space="preserve">анализа эффективности внутреннего финансового аудита, осуществляемого главными распорядителями (распорядителями) </w:t>
      </w:r>
      <w:r w:rsidR="00107096" w:rsidRPr="00355AF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355AFF">
        <w:rPr>
          <w:rFonts w:ascii="Times New Roman" w:hAnsi="Times New Roman" w:cs="Times New Roman"/>
          <w:sz w:val="28"/>
          <w:szCs w:val="28"/>
        </w:rPr>
        <w:t>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(далее - главный администратор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бюджетных средств, администратор бюджетных средств).</w:t>
      </w:r>
    </w:p>
    <w:p w:rsidR="00940D9D" w:rsidRPr="00940D9D" w:rsidRDefault="00940D9D" w:rsidP="00940D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D9D">
        <w:rPr>
          <w:sz w:val="28"/>
          <w:szCs w:val="28"/>
        </w:rPr>
        <w:t xml:space="preserve">1.3. </w:t>
      </w:r>
      <w:r w:rsidRPr="00940D9D">
        <w:rPr>
          <w:bCs/>
          <w:sz w:val="28"/>
          <w:szCs w:val="28"/>
        </w:rPr>
        <w:t>Целью Стандарта является</w:t>
      </w:r>
      <w:r w:rsidRPr="00940D9D">
        <w:rPr>
          <w:sz w:val="28"/>
          <w:szCs w:val="28"/>
        </w:rPr>
        <w:t xml:space="preserve"> установление единых принципов, правил и процедур по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аудита.</w:t>
      </w:r>
    </w:p>
    <w:p w:rsidR="00107096" w:rsidRPr="00355AFF" w:rsidRDefault="004F1EAD" w:rsidP="00355A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AFF">
        <w:rPr>
          <w:sz w:val="28"/>
          <w:szCs w:val="28"/>
        </w:rPr>
        <w:t>1.</w:t>
      </w:r>
      <w:r w:rsidR="00940D9D">
        <w:rPr>
          <w:sz w:val="28"/>
          <w:szCs w:val="28"/>
        </w:rPr>
        <w:t>4</w:t>
      </w:r>
      <w:r w:rsidRPr="00355AFF">
        <w:rPr>
          <w:sz w:val="28"/>
          <w:szCs w:val="28"/>
        </w:rPr>
        <w:t xml:space="preserve">. </w:t>
      </w:r>
      <w:proofErr w:type="gramStart"/>
      <w:r w:rsidRPr="00355AFF">
        <w:rPr>
          <w:sz w:val="28"/>
          <w:szCs w:val="28"/>
        </w:rPr>
        <w:t>Стандарт устанавливает цели, задачи, предмет проведения проверки и анализа эффективности внутреннего финансового аудита, осуществляемого главными администраторами бюджетных средств, администраторами бюджетных средств, мероприятия по подготовке к проведению проверки и анализа эффективности внутреннего финансового аудита, а также содержит положения об оценке</w:t>
      </w:r>
      <w:r w:rsidR="00EA3266" w:rsidRPr="00355AFF">
        <w:rPr>
          <w:sz w:val="28"/>
          <w:szCs w:val="28"/>
        </w:rPr>
        <w:t xml:space="preserve"> внутреннего финансового аудита</w:t>
      </w:r>
      <w:r w:rsidR="00107096" w:rsidRPr="00355AFF">
        <w:rPr>
          <w:sz w:val="28"/>
          <w:szCs w:val="28"/>
        </w:rPr>
        <w:t xml:space="preserve"> для</w:t>
      </w:r>
      <w:r w:rsidR="00107096" w:rsidRPr="00355AFF">
        <w:rPr>
          <w:rFonts w:eastAsiaTheme="minorHAnsi"/>
          <w:sz w:val="28"/>
          <w:szCs w:val="28"/>
          <w:lang w:eastAsia="en-US"/>
        </w:rPr>
        <w:t xml:space="preserve"> подготовки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</w:t>
      </w:r>
      <w:proofErr w:type="gramEnd"/>
      <w:r w:rsidR="00107096" w:rsidRPr="00355AFF">
        <w:rPr>
          <w:rFonts w:eastAsiaTheme="minorHAnsi"/>
          <w:sz w:val="28"/>
          <w:szCs w:val="28"/>
          <w:lang w:eastAsia="en-US"/>
        </w:rPr>
        <w:t xml:space="preserve"> дефицита бюджета (далее - главные администраторы бюджетных средств) внутреннего финансового аудита.</w:t>
      </w:r>
    </w:p>
    <w:p w:rsidR="004F1EAD" w:rsidRPr="00355AFF" w:rsidRDefault="00940D9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. Стандарт предназначен для использования сотрудниками аппарата </w:t>
      </w:r>
      <w:r w:rsidR="00EA3266" w:rsidRPr="00355AFF">
        <w:rPr>
          <w:rFonts w:ascii="Times New Roman" w:hAnsi="Times New Roman" w:cs="Times New Roman"/>
          <w:sz w:val="28"/>
          <w:szCs w:val="28"/>
        </w:rPr>
        <w:t>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в пределах их компетенции при организации и проведении проверки и </w:t>
      </w:r>
      <w:r w:rsidR="004F1EAD" w:rsidRPr="00355AFF">
        <w:rPr>
          <w:rFonts w:ascii="Times New Roman" w:hAnsi="Times New Roman" w:cs="Times New Roman"/>
          <w:sz w:val="28"/>
          <w:szCs w:val="28"/>
        </w:rPr>
        <w:lastRenderedPageBreak/>
        <w:t>анализа эффективности внутреннего финансового аудита в рамках:</w:t>
      </w:r>
    </w:p>
    <w:p w:rsidR="004F1EAD" w:rsidRPr="00355AFF" w:rsidRDefault="00156271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комплекса контрольных и экспертно-аналитических мероприятий по проверке исполнения </w:t>
      </w:r>
      <w:r w:rsidR="00EA3266" w:rsidRPr="00355AFF">
        <w:rPr>
          <w:rFonts w:ascii="Times New Roman" w:hAnsi="Times New Roman" w:cs="Times New Roman"/>
          <w:sz w:val="28"/>
          <w:szCs w:val="28"/>
        </w:rPr>
        <w:t xml:space="preserve">решения Железногорской городской Думы о </w:t>
      </w:r>
      <w:r w:rsidR="004F1EAD" w:rsidRPr="00355AFF">
        <w:rPr>
          <w:rFonts w:ascii="Times New Roman" w:hAnsi="Times New Roman" w:cs="Times New Roman"/>
          <w:sz w:val="28"/>
          <w:szCs w:val="28"/>
        </w:rPr>
        <w:t>бюджет</w:t>
      </w:r>
      <w:r w:rsidR="00EA3266" w:rsidRPr="00355AFF">
        <w:rPr>
          <w:rFonts w:ascii="Times New Roman" w:hAnsi="Times New Roman" w:cs="Times New Roman"/>
          <w:sz w:val="28"/>
          <w:szCs w:val="28"/>
        </w:rPr>
        <w:t>е города Железногорска</w:t>
      </w:r>
      <w:r w:rsidR="004F1EAD" w:rsidRPr="00355AFF">
        <w:rPr>
          <w:rFonts w:ascii="Times New Roman" w:hAnsi="Times New Roman" w:cs="Times New Roman"/>
          <w:sz w:val="28"/>
          <w:szCs w:val="28"/>
        </w:rPr>
        <w:t>, внешн</w:t>
      </w:r>
      <w:r w:rsidR="00EA3266" w:rsidRPr="00355AFF">
        <w:rPr>
          <w:rFonts w:ascii="Times New Roman" w:hAnsi="Times New Roman" w:cs="Times New Roman"/>
          <w:sz w:val="28"/>
          <w:szCs w:val="28"/>
        </w:rPr>
        <w:t>ей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A3266" w:rsidRPr="00355AFF">
        <w:rPr>
          <w:rFonts w:ascii="Times New Roman" w:hAnsi="Times New Roman" w:cs="Times New Roman"/>
          <w:sz w:val="28"/>
          <w:szCs w:val="28"/>
        </w:rPr>
        <w:t>е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A3266" w:rsidRPr="00355AFF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и бюджетной отчетности главных администраторов </w:t>
      </w:r>
      <w:r w:rsidR="00EA3266" w:rsidRPr="00355AF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F1EAD" w:rsidRPr="00355AFF">
        <w:rPr>
          <w:rFonts w:ascii="Times New Roman" w:hAnsi="Times New Roman" w:cs="Times New Roman"/>
          <w:sz w:val="28"/>
          <w:szCs w:val="28"/>
        </w:rPr>
        <w:t>средств;</w:t>
      </w:r>
    </w:p>
    <w:p w:rsidR="004F1EAD" w:rsidRPr="00355AFF" w:rsidRDefault="00156271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самостоятельных тематических контрольных и экспертно-аналитических мероприятий, проводимых в главном администраторе бюджетных средств, администраторе бюджетных средств, </w:t>
      </w:r>
      <w:proofErr w:type="gramStart"/>
      <w:r w:rsidR="004F1EAD" w:rsidRPr="00355AF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проведения которых включают проверку и анализ эффективности внутреннего финансового аудита;</w:t>
      </w:r>
    </w:p>
    <w:p w:rsidR="004F1EAD" w:rsidRPr="00355AFF" w:rsidRDefault="00156271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F1EAD" w:rsidRPr="00355AFF">
        <w:rPr>
          <w:rFonts w:ascii="Times New Roman" w:hAnsi="Times New Roman" w:cs="Times New Roman"/>
          <w:sz w:val="28"/>
          <w:szCs w:val="28"/>
        </w:rPr>
        <w:t>самостоятельных тематических контрольных и экспертно-аналитических мероприятий, предметом и целью которых являются проверка и анализ эффективности внутреннего финансового аудита.</w:t>
      </w:r>
    </w:p>
    <w:p w:rsidR="004F1EAD" w:rsidRPr="00355AFF" w:rsidRDefault="00940D9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F1EAD" w:rsidRPr="00355AFF">
        <w:rPr>
          <w:rFonts w:ascii="Times New Roman" w:hAnsi="Times New Roman" w:cs="Times New Roman"/>
          <w:sz w:val="28"/>
          <w:szCs w:val="28"/>
        </w:rPr>
        <w:t>. Порядок организации и проведения контрольных и экспертно-аналитическ</w:t>
      </w:r>
      <w:r w:rsidR="00107096" w:rsidRPr="00355AFF">
        <w:rPr>
          <w:rFonts w:ascii="Times New Roman" w:hAnsi="Times New Roman" w:cs="Times New Roman"/>
          <w:sz w:val="28"/>
          <w:szCs w:val="28"/>
        </w:rPr>
        <w:t>их мероприятий регламентируется Стандартом</w:t>
      </w:r>
      <w:r w:rsidR="00107096" w:rsidRPr="00355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096" w:rsidRPr="00355AFF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СВМФК 1 «Общие правила проведения контрольного мероприятия» и Стандартом финансового контроля СФК 2 «Проведение экспертно-аналитического мероприятия»</w:t>
      </w:r>
      <w:r w:rsidR="004F1EAD" w:rsidRPr="00355AFF">
        <w:rPr>
          <w:rFonts w:ascii="Times New Roman" w:hAnsi="Times New Roman" w:cs="Times New Roman"/>
          <w:sz w:val="28"/>
          <w:szCs w:val="28"/>
        </w:rPr>
        <w:t>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Также при проведении контрольных и экспертно-аналитических мероприятий могут использоваться иные стандарты внешнего </w:t>
      </w:r>
      <w:r w:rsidR="00355A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AFF">
        <w:rPr>
          <w:rFonts w:ascii="Times New Roman" w:hAnsi="Times New Roman" w:cs="Times New Roman"/>
          <w:sz w:val="28"/>
          <w:szCs w:val="28"/>
        </w:rPr>
        <w:t xml:space="preserve"> аудита (контроля) </w:t>
      </w:r>
      <w:r w:rsidR="00EA3266" w:rsidRPr="00355AFF">
        <w:rPr>
          <w:rFonts w:ascii="Times New Roman" w:hAnsi="Times New Roman" w:cs="Times New Roman"/>
          <w:sz w:val="28"/>
          <w:szCs w:val="28"/>
        </w:rPr>
        <w:t>КСП</w:t>
      </w:r>
      <w:r w:rsidRPr="00355AFF">
        <w:rPr>
          <w:rFonts w:ascii="Times New Roman" w:hAnsi="Times New Roman" w:cs="Times New Roman"/>
          <w:sz w:val="28"/>
          <w:szCs w:val="28"/>
        </w:rPr>
        <w:t>.</w:t>
      </w:r>
    </w:p>
    <w:p w:rsidR="004F1EAD" w:rsidRPr="00355AFF" w:rsidRDefault="00940D9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. По вопросам, порядок рассмотрения которых не урегулирован Стандартом, решение принимается Коллегией </w:t>
      </w:r>
      <w:r w:rsidR="00EA3266" w:rsidRPr="00355AFF">
        <w:rPr>
          <w:rFonts w:ascii="Times New Roman" w:hAnsi="Times New Roman" w:cs="Times New Roman"/>
          <w:sz w:val="28"/>
          <w:szCs w:val="28"/>
        </w:rPr>
        <w:t>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EA3266" w:rsidRPr="00355AFF">
        <w:rPr>
          <w:rFonts w:ascii="Times New Roman" w:hAnsi="Times New Roman" w:cs="Times New Roman"/>
          <w:sz w:val="28"/>
          <w:szCs w:val="28"/>
        </w:rPr>
        <w:t>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>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2. Содержание внутреннего финансового аудита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соответствии с положениями </w:t>
      </w:r>
      <w:hyperlink r:id="rId10" w:history="1"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160.2-1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</w:t>
      </w:r>
      <w:r w:rsidRPr="00355AFF">
        <w:rPr>
          <w:rFonts w:ascii="Times New Roman" w:hAnsi="Times New Roman" w:cs="Times New Roman"/>
          <w:sz w:val="28"/>
          <w:szCs w:val="28"/>
        </w:rPr>
        <w:t>внутренний финансовый аудит осуществляется главными администраторами бюджетных средств, администраторами бюджетных средств на основе функциональной независимости в целях:</w:t>
      </w:r>
    </w:p>
    <w:p w:rsidR="004F1EAD" w:rsidRPr="00355AFF" w:rsidRDefault="00156271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D76EE">
        <w:rPr>
          <w:rFonts w:ascii="Times New Roman" w:hAnsi="Times New Roman" w:cs="Times New Roman"/>
          <w:sz w:val="28"/>
          <w:szCs w:val="28"/>
        </w:rPr>
        <w:t xml:space="preserve"> </w:t>
      </w:r>
      <w:r w:rsidR="004F1EAD" w:rsidRPr="00355AFF">
        <w:rPr>
          <w:rFonts w:ascii="Times New Roman" w:hAnsi="Times New Roman" w:cs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4F1EAD" w:rsidRPr="00355AFF" w:rsidRDefault="00156271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D76EE">
        <w:rPr>
          <w:rFonts w:ascii="Times New Roman" w:hAnsi="Times New Roman" w:cs="Times New Roman"/>
          <w:sz w:val="28"/>
          <w:szCs w:val="28"/>
        </w:rPr>
        <w:t xml:space="preserve"> </w:t>
      </w:r>
      <w:r w:rsidR="004F1EAD" w:rsidRPr="00355AFF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F1EAD" w:rsidRPr="00355AFF" w:rsidRDefault="00156271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D76EE">
        <w:rPr>
          <w:rFonts w:ascii="Times New Roman" w:hAnsi="Times New Roman" w:cs="Times New Roman"/>
          <w:sz w:val="28"/>
          <w:szCs w:val="28"/>
        </w:rPr>
        <w:t xml:space="preserve"> </w:t>
      </w:r>
      <w:r w:rsidR="004F1EAD" w:rsidRPr="00355AFF">
        <w:rPr>
          <w:rFonts w:ascii="Times New Roman" w:hAnsi="Times New Roman" w:cs="Times New Roman"/>
          <w:sz w:val="28"/>
          <w:szCs w:val="28"/>
        </w:rPr>
        <w:t>подготовки предложений о повышении экономности и результативности использования бюджетных средств.</w:t>
      </w:r>
    </w:p>
    <w:p w:rsidR="007234F1" w:rsidRPr="00355AFF" w:rsidRDefault="004F1EAD" w:rsidP="00355A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AFF">
        <w:rPr>
          <w:sz w:val="28"/>
          <w:szCs w:val="28"/>
        </w:rPr>
        <w:t>2.2. При проведении проверки и анализа эффективности внутреннего финансового аудита учитываются положения</w:t>
      </w:r>
      <w:r w:rsidR="007234F1" w:rsidRPr="00355AFF">
        <w:rPr>
          <w:sz w:val="28"/>
          <w:szCs w:val="28"/>
        </w:rPr>
        <w:t xml:space="preserve"> </w:t>
      </w:r>
      <w:r w:rsidR="007234F1" w:rsidRPr="00355AFF">
        <w:rPr>
          <w:rFonts w:eastAsiaTheme="minorHAnsi"/>
          <w:sz w:val="28"/>
          <w:szCs w:val="28"/>
          <w:lang w:eastAsia="en-US"/>
        </w:rPr>
        <w:t>федеральных стандартов внутреннего финансового аудита, установленны</w:t>
      </w:r>
      <w:r w:rsidR="00BD76EE">
        <w:rPr>
          <w:rFonts w:eastAsiaTheme="minorHAnsi"/>
          <w:sz w:val="28"/>
          <w:szCs w:val="28"/>
          <w:lang w:eastAsia="en-US"/>
        </w:rPr>
        <w:t>х</w:t>
      </w:r>
      <w:r w:rsidR="007234F1" w:rsidRPr="00355AFF">
        <w:rPr>
          <w:rFonts w:eastAsiaTheme="minorHAnsi"/>
          <w:sz w:val="28"/>
          <w:szCs w:val="28"/>
          <w:lang w:eastAsia="en-US"/>
        </w:rPr>
        <w:t xml:space="preserve"> Министерством финансов Российской Федерации:</w:t>
      </w:r>
    </w:p>
    <w:p w:rsidR="007234F1" w:rsidRPr="00355AFF" w:rsidRDefault="007234F1" w:rsidP="00355A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AFF">
        <w:rPr>
          <w:rFonts w:eastAsiaTheme="minorHAnsi"/>
          <w:sz w:val="28"/>
          <w:szCs w:val="28"/>
          <w:lang w:eastAsia="en-US"/>
        </w:rPr>
        <w:lastRenderedPageBreak/>
        <w:t>- Прика</w:t>
      </w:r>
      <w:r w:rsidR="00A94871" w:rsidRPr="00355AFF">
        <w:rPr>
          <w:rFonts w:eastAsiaTheme="minorHAnsi"/>
          <w:sz w:val="28"/>
          <w:szCs w:val="28"/>
          <w:lang w:eastAsia="en-US"/>
        </w:rPr>
        <w:t>з Минфина России от 05.08.2020 № 160н «</w:t>
      </w:r>
      <w:r w:rsidRPr="00355AFF">
        <w:rPr>
          <w:rFonts w:eastAsiaTheme="minorHAnsi"/>
          <w:sz w:val="28"/>
          <w:szCs w:val="28"/>
          <w:lang w:eastAsia="en-US"/>
        </w:rPr>
        <w:t>Об утверждении федерального стандарта вну</w:t>
      </w:r>
      <w:r w:rsidR="00A94871" w:rsidRPr="00355AFF">
        <w:rPr>
          <w:rFonts w:eastAsiaTheme="minorHAnsi"/>
          <w:sz w:val="28"/>
          <w:szCs w:val="28"/>
          <w:lang w:eastAsia="en-US"/>
        </w:rPr>
        <w:t>треннего финансового аудита «</w:t>
      </w:r>
      <w:r w:rsidRPr="00355AFF">
        <w:rPr>
          <w:rFonts w:eastAsiaTheme="minorHAnsi"/>
          <w:sz w:val="28"/>
          <w:szCs w:val="28"/>
          <w:lang w:eastAsia="en-US"/>
        </w:rPr>
        <w:t>Планирование и проведение внутреннего финансового аудита»;</w:t>
      </w:r>
    </w:p>
    <w:p w:rsidR="007234F1" w:rsidRPr="00355AFF" w:rsidRDefault="007234F1" w:rsidP="00355A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AFF">
        <w:rPr>
          <w:rFonts w:eastAsiaTheme="minorHAnsi"/>
          <w:sz w:val="28"/>
          <w:szCs w:val="28"/>
          <w:lang w:eastAsia="en-US"/>
        </w:rPr>
        <w:t>- Прика</w:t>
      </w:r>
      <w:r w:rsidR="00A94871" w:rsidRPr="00355AFF">
        <w:rPr>
          <w:rFonts w:eastAsiaTheme="minorHAnsi"/>
          <w:sz w:val="28"/>
          <w:szCs w:val="28"/>
          <w:lang w:eastAsia="en-US"/>
        </w:rPr>
        <w:t>з Минфина России от 18.12.2019 № 237н (ред. от 23.07.2020) «</w:t>
      </w:r>
      <w:r w:rsidRPr="00355AFF">
        <w:rPr>
          <w:rFonts w:eastAsiaTheme="minorHAnsi"/>
          <w:sz w:val="28"/>
          <w:szCs w:val="28"/>
          <w:lang w:eastAsia="en-US"/>
        </w:rPr>
        <w:t>Об утверждении федерального стандарта внутреннего финан</w:t>
      </w:r>
      <w:r w:rsidR="00355AFF">
        <w:rPr>
          <w:rFonts w:eastAsiaTheme="minorHAnsi"/>
          <w:sz w:val="28"/>
          <w:szCs w:val="28"/>
          <w:lang w:eastAsia="en-US"/>
        </w:rPr>
        <w:t>сового аудита «</w:t>
      </w:r>
      <w:r w:rsidRPr="00355AFF">
        <w:rPr>
          <w:rFonts w:eastAsiaTheme="minorHAnsi"/>
          <w:sz w:val="28"/>
          <w:szCs w:val="28"/>
          <w:lang w:eastAsia="en-US"/>
        </w:rPr>
        <w:t>Основания и порядок организации, случаи и порядок передачи полномочий по осуществлению внутреннего финансового аудита»;</w:t>
      </w:r>
    </w:p>
    <w:p w:rsidR="007234F1" w:rsidRPr="00355AFF" w:rsidRDefault="007234F1" w:rsidP="00355AFF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355AFF">
        <w:rPr>
          <w:rFonts w:eastAsiaTheme="minorHAnsi"/>
          <w:sz w:val="28"/>
          <w:szCs w:val="28"/>
          <w:lang w:eastAsia="en-US"/>
        </w:rPr>
        <w:t xml:space="preserve">- </w:t>
      </w:r>
      <w:r w:rsidRPr="00355AFF">
        <w:rPr>
          <w:sz w:val="28"/>
          <w:szCs w:val="28"/>
        </w:rPr>
        <w:t>Прика</w:t>
      </w:r>
      <w:r w:rsidR="00A94871" w:rsidRPr="00355AFF">
        <w:rPr>
          <w:sz w:val="28"/>
          <w:szCs w:val="28"/>
        </w:rPr>
        <w:t>з Минфина России от 22.05.2020 № 91н «</w:t>
      </w:r>
      <w:r w:rsidRPr="00355AFF">
        <w:rPr>
          <w:sz w:val="28"/>
          <w:szCs w:val="28"/>
        </w:rPr>
        <w:t xml:space="preserve">Об утверждении федерального стандарта </w:t>
      </w:r>
      <w:r w:rsidR="00A94871" w:rsidRPr="00355AFF">
        <w:rPr>
          <w:sz w:val="28"/>
          <w:szCs w:val="28"/>
        </w:rPr>
        <w:t>внутреннего финансового аудита «</w:t>
      </w:r>
      <w:r w:rsidRPr="00355AFF">
        <w:rPr>
          <w:sz w:val="28"/>
          <w:szCs w:val="28"/>
        </w:rPr>
        <w:t xml:space="preserve">Реализация результатов внутреннего финансового аудита»; </w:t>
      </w:r>
    </w:p>
    <w:p w:rsidR="007234F1" w:rsidRPr="00355AFF" w:rsidRDefault="007234F1" w:rsidP="00355AFF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355AFF">
        <w:rPr>
          <w:sz w:val="28"/>
          <w:szCs w:val="28"/>
        </w:rPr>
        <w:t>- Прика</w:t>
      </w:r>
      <w:r w:rsidR="00A94871" w:rsidRPr="00355AFF">
        <w:rPr>
          <w:sz w:val="28"/>
          <w:szCs w:val="28"/>
        </w:rPr>
        <w:t>з Минфина России от 21.11.2019 № 196н «</w:t>
      </w:r>
      <w:r w:rsidRPr="00355AFF">
        <w:rPr>
          <w:sz w:val="28"/>
          <w:szCs w:val="28"/>
        </w:rPr>
        <w:t xml:space="preserve">Об утверждении федерального стандарта внутреннего финансового аудита </w:t>
      </w:r>
      <w:r w:rsidR="00A94871" w:rsidRPr="00355AFF">
        <w:rPr>
          <w:sz w:val="28"/>
          <w:szCs w:val="28"/>
        </w:rPr>
        <w:t>«</w:t>
      </w:r>
      <w:r w:rsidRPr="00355AFF">
        <w:rPr>
          <w:sz w:val="28"/>
          <w:szCs w:val="28"/>
        </w:rPr>
        <w:t>Определения, принципы и задачи внутреннего финансового аудита»;</w:t>
      </w:r>
    </w:p>
    <w:p w:rsidR="007234F1" w:rsidRPr="00355AFF" w:rsidRDefault="007234F1" w:rsidP="00355AFF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355AFF">
        <w:rPr>
          <w:sz w:val="28"/>
          <w:szCs w:val="28"/>
        </w:rPr>
        <w:t>- Прика</w:t>
      </w:r>
      <w:r w:rsidR="00A94871" w:rsidRPr="00355AFF">
        <w:rPr>
          <w:sz w:val="28"/>
          <w:szCs w:val="28"/>
        </w:rPr>
        <w:t>з Минфина России от 21.11.2019 № 195н «</w:t>
      </w:r>
      <w:r w:rsidRPr="00355AFF">
        <w:rPr>
          <w:sz w:val="28"/>
          <w:szCs w:val="28"/>
        </w:rPr>
        <w:t>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</w:t>
      </w:r>
      <w:r w:rsidR="00A94871" w:rsidRPr="00355AFF">
        <w:rPr>
          <w:sz w:val="28"/>
          <w:szCs w:val="28"/>
        </w:rPr>
        <w:t>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2.3. Субъектом внутреннего финансового аудита является структурное подразделение и (или) уполномоченное должностное лицо, работник главного администратора бюджетных средств, администратора бюджетных средств, наделенные полномочиями по осуществлению внутреннего финансового аудита и осуществляющие свою деятельность на основе функциональной независимости.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2.4. Объектами внутреннего финансового аудита являются структурные подразделения главного администратора бюджетных средств, администратора бюджетных средств, подведомственные им администраторы бюджетных средств и получатели бюджетных средств (далее - объекты аудита).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3. Предмет, цели, задачи проверки и анализа эффективности</w:t>
      </w:r>
    </w:p>
    <w:p w:rsidR="004F1EAD" w:rsidRPr="00355AFF" w:rsidRDefault="004F1EAD" w:rsidP="00355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3.1. Предметом проверки и анализа эффективности внутреннего финансового аудита является деятельность субъекта внутреннего финансового аудита соответствующего главного администратора бюджетных средств, администратора бюджетных средств.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3.2. Целями проверки и анализа эффективности внутреннего финансового аудита, осуществляемого главным администратором бюджетных средств, администратором бюджетных средств являются: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оценка состояния внутреннего финансового аудита и определение целесообразности использования его результатов при планировании контрольных и экспертно-аналитических мероприятий </w:t>
      </w:r>
      <w:r w:rsidR="00A94871" w:rsidRPr="00355AFF">
        <w:rPr>
          <w:rFonts w:ascii="Times New Roman" w:hAnsi="Times New Roman" w:cs="Times New Roman"/>
          <w:sz w:val="28"/>
          <w:szCs w:val="28"/>
        </w:rPr>
        <w:t>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в соответствующем главном администраторе бюджетных средств, администраторе бюджетных средств;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>проверка соблюдения субъектом внутреннего финансового аудита требований стандартов, правил, методических рекомендаций и других методических документов, регламентирующих проведение внутреннего финансового аудита;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выявление нарушений и недостатков в организации работы и отчетности субъекта внутреннего финансового аудита, а также выработка рекомендаций </w:t>
      </w:r>
      <w:r w:rsidR="00F77FA6" w:rsidRPr="00355AFF">
        <w:rPr>
          <w:rFonts w:ascii="Times New Roman" w:hAnsi="Times New Roman" w:cs="Times New Roman"/>
          <w:sz w:val="28"/>
          <w:szCs w:val="28"/>
        </w:rPr>
        <w:t xml:space="preserve">(предложений) </w:t>
      </w:r>
      <w:r w:rsidR="004F1EAD" w:rsidRPr="00355AFF">
        <w:rPr>
          <w:rFonts w:ascii="Times New Roman" w:hAnsi="Times New Roman" w:cs="Times New Roman"/>
          <w:sz w:val="28"/>
          <w:szCs w:val="28"/>
        </w:rPr>
        <w:t>по совершенствованию внутреннего финансового аудита.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3.3. Задачами проверки и анализа эффективности внутреннего финансового аудита является оценка: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>организации внутреннего финансового аудита, включая оценку организационной структуры субъекта внутреннего финансового аудита, его функциональной независимости, уровня его подотчетности, численности и укомплектованности;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>организации планирования аудиторских проверок в объектах внутреннего финансового аудита;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>организации осуществления внутреннего финансового аудита;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>взаимодействия субъекта внутреннего финансового аудита с</w:t>
      </w:r>
      <w:r w:rsidR="00F77FA6" w:rsidRPr="00355AFF">
        <w:rPr>
          <w:rFonts w:ascii="Times New Roman" w:hAnsi="Times New Roman" w:cs="Times New Roman"/>
          <w:sz w:val="28"/>
          <w:szCs w:val="28"/>
        </w:rPr>
        <w:t xml:space="preserve"> 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, а также с иными органами </w:t>
      </w:r>
      <w:r w:rsidR="00F77FA6" w:rsidRPr="00355AFF">
        <w:rPr>
          <w:rFonts w:ascii="Times New Roman" w:hAnsi="Times New Roman" w:cs="Times New Roman"/>
          <w:sz w:val="28"/>
          <w:szCs w:val="28"/>
        </w:rPr>
        <w:t>муниципального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>соблюдения субъектом внутреннего финансового аудита порядка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результатов проводимых субъектом внутреннего финансового аудита аудиторских проверок, направленных на решение поставленных перед ним задач, в том числе проводимых по результатам проверок </w:t>
      </w:r>
      <w:r w:rsidR="00F77FA6" w:rsidRPr="00355AFF">
        <w:rPr>
          <w:rFonts w:ascii="Times New Roman" w:hAnsi="Times New Roman" w:cs="Times New Roman"/>
          <w:sz w:val="28"/>
          <w:szCs w:val="28"/>
        </w:rPr>
        <w:t>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в соответствующем главном администраторе бюджетных средств, администраторе бюджетных средств.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4. Подготовка к проведению проверки и анализа эффективности</w:t>
      </w:r>
    </w:p>
    <w:p w:rsidR="004F1EAD" w:rsidRPr="00355AFF" w:rsidRDefault="004F1EAD" w:rsidP="00355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355AFF">
        <w:rPr>
          <w:rFonts w:ascii="Times New Roman" w:hAnsi="Times New Roman" w:cs="Times New Roman"/>
          <w:sz w:val="28"/>
          <w:szCs w:val="28"/>
        </w:rPr>
        <w:t>Подготовка к проведению проверки и анализа эффективности внутреннего финансового аудита начинается с изучения сведений о соответствующем главном администраторе бюджетных средств, администраторе бюджетных средств, содержащихся в государс</w:t>
      </w:r>
      <w:r w:rsidR="006716F9" w:rsidRPr="00355AFF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55AFF">
        <w:rPr>
          <w:rFonts w:ascii="Times New Roman" w:hAnsi="Times New Roman" w:cs="Times New Roman"/>
          <w:sz w:val="28"/>
          <w:szCs w:val="28"/>
        </w:rPr>
        <w:t>Официальный сайт Российской Федерации в информаци</w:t>
      </w:r>
      <w:r w:rsidR="006716F9" w:rsidRPr="00355AF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55AFF">
        <w:rPr>
          <w:rFonts w:ascii="Times New Roman" w:hAnsi="Times New Roman" w:cs="Times New Roman"/>
          <w:sz w:val="28"/>
          <w:szCs w:val="28"/>
        </w:rPr>
        <w:t>Интернет</w:t>
      </w:r>
      <w:r w:rsidR="006716F9" w:rsidRPr="00355AFF">
        <w:rPr>
          <w:rFonts w:ascii="Times New Roman" w:hAnsi="Times New Roman" w:cs="Times New Roman"/>
          <w:sz w:val="28"/>
          <w:szCs w:val="28"/>
        </w:rPr>
        <w:t>»</w:t>
      </w:r>
      <w:r w:rsidRPr="00355AFF">
        <w:rPr>
          <w:rFonts w:ascii="Times New Roman" w:hAnsi="Times New Roman" w:cs="Times New Roman"/>
          <w:sz w:val="28"/>
          <w:szCs w:val="28"/>
        </w:rPr>
        <w:t xml:space="preserve"> для размещения информации об осуществлении государственного (муниципального) финансового аудита (контроля) в сфере бюдже</w:t>
      </w:r>
      <w:r w:rsidR="006716F9" w:rsidRPr="00355AFF">
        <w:rPr>
          <w:rFonts w:ascii="Times New Roman" w:hAnsi="Times New Roman" w:cs="Times New Roman"/>
          <w:sz w:val="28"/>
          <w:szCs w:val="28"/>
        </w:rPr>
        <w:t>тных правоотношений»</w:t>
      </w:r>
      <w:r w:rsidRPr="00355AFF">
        <w:rPr>
          <w:rFonts w:ascii="Times New Roman" w:hAnsi="Times New Roman" w:cs="Times New Roman"/>
          <w:sz w:val="28"/>
          <w:szCs w:val="28"/>
        </w:rPr>
        <w:t>, в том числе результатов проверок главного администратора бюджетных средств, администратора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бюджетных средств иными органами государственного финансового контроля.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4.2. По результатам предварительного изучения главного </w:t>
      </w:r>
      <w:r w:rsidRPr="00355AF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администратора бюджетных средств, администратора бюджетных средств подготавливается программа проведения проверки и анализа эффективности внутреннего финансового аудита (в рамках самостоятельных тематических контрольных и экспертно-аналитических мероприятий) или отдельный раздел программы проведения контрольного или экспертно-аналитического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с учетом требований </w:t>
      </w:r>
      <w:hyperlink w:anchor="P70" w:history="1"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5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6F9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4.3. По результатам анализа имеющейся информации о главном администраторе бюджетных средств, администраторе бюджетных средств с учетом вопросов программы проведения контрольного или экспертно-аналитического мероприятия в части проверки и анализа эффективности внутреннего финансового аудита в адрес руководства проверяемого главного администратора бюджетных средств, администратора бюджетных средств направляются запросы, содержащие перечень необходимых документов и информации.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Включению в запросы подлежат: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годовая отчетность субъекта внутреннего финансового аудита, содержащая информацию, подтверждающую выводы о надежности внутреннего финансового контроля, достоверности сводной бюджетной отчетности главного администратора бюджетных средств, администратора бюджетных средств и соответствии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годовые планы работы и программы аудиторских проверок, осуществленных субъектом внутреннего финансового аудита;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информация о решениях, принятых руководителем главного администратора бюджетных средств, администратора бюджетных средств по итогам рассмотрения отчетов о результатах аудиторских проверок, и о реализации указанных решений;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информация о мероприятиях по повышению экономности и результативности использования бюджетных средств, реализованных главным администратором бюджетных средств, администратором бюджетных сре</w:t>
      </w:r>
      <w:proofErr w:type="gramStart"/>
      <w:r w:rsidRPr="00355AF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>оответствии с предложениями, включенными в отчеты о результатах аудиторской проверки;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акты, составленные по результатам аудиторских проверок, осуществленных субъектом внутреннего финансового аудита.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Также запрашивается информация о результатах устранения нарушений и недостатков, выявленных в деятельности субъекта внутреннего финансового аудита в ходе проверок и анализа эффективности внутреннего финансового аудита, проведенных </w:t>
      </w:r>
      <w:r w:rsidR="009123DF" w:rsidRPr="00355AFF">
        <w:rPr>
          <w:rFonts w:ascii="Times New Roman" w:hAnsi="Times New Roman" w:cs="Times New Roman"/>
          <w:sz w:val="28"/>
          <w:szCs w:val="28"/>
        </w:rPr>
        <w:t>КСП</w:t>
      </w:r>
      <w:r w:rsidRPr="00355AFF">
        <w:rPr>
          <w:rFonts w:ascii="Times New Roman" w:hAnsi="Times New Roman" w:cs="Times New Roman"/>
          <w:sz w:val="28"/>
          <w:szCs w:val="28"/>
        </w:rPr>
        <w:t xml:space="preserve"> и иными органами </w:t>
      </w:r>
      <w:r w:rsidR="009123DF" w:rsidRPr="00355A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AFF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355AFF">
        <w:rPr>
          <w:rFonts w:ascii="Times New Roman" w:hAnsi="Times New Roman" w:cs="Times New Roman"/>
          <w:sz w:val="28"/>
          <w:szCs w:val="28"/>
        </w:rPr>
        <w:t>5. Проверка и анализ эффективности внутреннего</w:t>
      </w:r>
      <w:r w:rsidR="00355AFF">
        <w:rPr>
          <w:rFonts w:ascii="Times New Roman" w:hAnsi="Times New Roman" w:cs="Times New Roman"/>
          <w:sz w:val="28"/>
          <w:szCs w:val="28"/>
        </w:rPr>
        <w:t xml:space="preserve"> </w:t>
      </w:r>
      <w:r w:rsidRPr="00355AFF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Оценка эффективности внутреннего финансового аудита в главном </w:t>
      </w:r>
      <w:r w:rsidRPr="00355AFF">
        <w:rPr>
          <w:rFonts w:ascii="Times New Roman" w:hAnsi="Times New Roman" w:cs="Times New Roman"/>
          <w:sz w:val="28"/>
          <w:szCs w:val="28"/>
        </w:rPr>
        <w:lastRenderedPageBreak/>
        <w:t>администраторе бюджетных средств, администраторе бюджетных средств осуществляется по результатам двух этапов оценки внутреннего финансового аудита.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5.1. На первом этапе осуществляется оценка организации внутреннего финансового аудита, в рамках которого </w:t>
      </w:r>
      <w:proofErr w:type="gramStart"/>
      <w:r w:rsidRPr="00355AFF">
        <w:rPr>
          <w:rFonts w:ascii="Times New Roman" w:hAnsi="Times New Roman" w:cs="Times New Roman"/>
          <w:sz w:val="28"/>
          <w:szCs w:val="28"/>
        </w:rPr>
        <w:t>проверяется и анализируется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подготовленность субъекта внутреннего финансового аудита к обеспечению выполнения поставленных перед ним задач, включающая: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1EAD" w:rsidRPr="00355AFF">
        <w:rPr>
          <w:rFonts w:ascii="Times New Roman" w:hAnsi="Times New Roman" w:cs="Times New Roman"/>
          <w:sz w:val="28"/>
          <w:szCs w:val="28"/>
        </w:rPr>
        <w:t>наличие и характеристику правового акта главного администратора бюджетных средств, администратора бюджетных средств об организации внутреннего финансового аудита;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F1EAD" w:rsidRPr="00355AFF">
        <w:rPr>
          <w:rFonts w:ascii="Times New Roman" w:hAnsi="Times New Roman" w:cs="Times New Roman"/>
          <w:sz w:val="28"/>
          <w:szCs w:val="28"/>
        </w:rPr>
        <w:t>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бюджетных средств, администратора бюджетных средств, разработку и утверждение должностных регламентов и инструкций сотрудников, осуществляющих внутренний финансовый аудит;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F1EAD" w:rsidRPr="00355AFF">
        <w:rPr>
          <w:rFonts w:ascii="Times New Roman" w:hAnsi="Times New Roman" w:cs="Times New Roman"/>
          <w:sz w:val="28"/>
          <w:szCs w:val="28"/>
        </w:rPr>
        <w:t>укомплектованность субъекта внутреннего финансового аудита сотрудниками с учетом требований к профессиональным знаниям и навыкам, необходимым для исполнения должностных обязанностей сотрудников, организующих и осуществляющих внутренний финансовый аудит;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применение автоматизированных информационных систем объектами внутреннего финансового аудита при осуществлении </w:t>
      </w:r>
      <w:proofErr w:type="spellStart"/>
      <w:r w:rsidR="004F1EAD" w:rsidRPr="00355AFF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F1EAD" w:rsidRPr="00355AFF">
        <w:rPr>
          <w:rFonts w:ascii="Times New Roman" w:hAnsi="Times New Roman" w:cs="Times New Roman"/>
          <w:sz w:val="28"/>
          <w:szCs w:val="28"/>
        </w:rPr>
        <w:t>организацию планирования аудиторских проверок в объектах внутреннего финансового аудита, включая применение субъектом внутреннего финансового аудита оценки бюджетных рисков при планировании аудиторских проверок, соответствие порядка планирования внутреннего финансового аудита нормативным правовы</w:t>
      </w:r>
      <w:r w:rsidR="008F0788" w:rsidRPr="00355AFF">
        <w:rPr>
          <w:rFonts w:ascii="Times New Roman" w:hAnsi="Times New Roman" w:cs="Times New Roman"/>
          <w:sz w:val="28"/>
          <w:szCs w:val="28"/>
        </w:rPr>
        <w:t>м актам Российской Федерации (см. пункт 2.2. настоящего Стандарта)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, а также учет субъектом внутреннего финансового аудита результатов проверок главного администратора бюджетных средств </w:t>
      </w:r>
      <w:r w:rsidR="008F0788" w:rsidRPr="00355AFF">
        <w:rPr>
          <w:rFonts w:ascii="Times New Roman" w:hAnsi="Times New Roman" w:cs="Times New Roman"/>
          <w:sz w:val="28"/>
          <w:szCs w:val="28"/>
        </w:rPr>
        <w:t>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и иными органами </w:t>
      </w:r>
      <w:r w:rsidR="008F0788" w:rsidRPr="00355A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1EAD" w:rsidRPr="00355AFF">
        <w:rPr>
          <w:rFonts w:ascii="Times New Roman" w:hAnsi="Times New Roman" w:cs="Times New Roman"/>
          <w:sz w:val="28"/>
          <w:szCs w:val="28"/>
        </w:rPr>
        <w:t>финансового контроля при</w:t>
      </w:r>
      <w:proofErr w:type="gramEnd"/>
      <w:r w:rsidR="004F1EAD" w:rsidRPr="00355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EAD" w:rsidRPr="00355AFF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и осуществлении внутреннего финансового аудита;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F1EAD" w:rsidRPr="00355AFF">
        <w:rPr>
          <w:rFonts w:ascii="Times New Roman" w:hAnsi="Times New Roman" w:cs="Times New Roman"/>
          <w:sz w:val="28"/>
          <w:szCs w:val="28"/>
        </w:rPr>
        <w:t>организацию осуществления внутреннего финансового аудита, включая степень охвата аудиторскими проверками объектов внутреннего финансового аудита, подведомственных главному администратору бюджетных средств, администратору бюджетных средств;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4F1EAD" w:rsidRPr="00355AFF">
        <w:rPr>
          <w:rFonts w:ascii="Times New Roman" w:hAnsi="Times New Roman" w:cs="Times New Roman"/>
          <w:sz w:val="28"/>
          <w:szCs w:val="28"/>
        </w:rPr>
        <w:t>оценку соблюдения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 и годовой отчетности о результатах осуществления внутреннего финансового аудита, проведенных субъектом внутреннего финансового аудита, реализацию замечаний и рекомендаций субъекта внутреннего финансового аудита;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реализацию главным администратором бюджетных средств, администратором бюджетных средств аудиторских выводов, предложений и </w:t>
      </w:r>
      <w:r w:rsidR="004F1EAD" w:rsidRPr="00355AFF">
        <w:rPr>
          <w:rFonts w:ascii="Times New Roman" w:hAnsi="Times New Roman" w:cs="Times New Roman"/>
          <w:sz w:val="28"/>
          <w:szCs w:val="28"/>
        </w:rPr>
        <w:lastRenderedPageBreak/>
        <w:t>рекомендаций;</w:t>
      </w:r>
    </w:p>
    <w:p w:rsidR="004F1EAD" w:rsidRPr="00355AFF" w:rsidRDefault="00BD76EE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взаимодействие субъекта внутреннего финансового аудита со Счетной палатой и иными органами государственного финансового контроля, включая анализ информации субъектом внутреннего финансового аудита о результатах устранения нарушений и недостатков, выявленных в его деятельности в ходе проверок и анализа эффективности внутреннего финансового аудита, проведенных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 и иными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1EAD" w:rsidRPr="00355AFF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Для формализованной оценки организации внутреннего финансового аудита и формирования количественных оценок по соответствующим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 на первом этапе оценки используется переч</w:t>
      </w:r>
      <w:r w:rsidR="008F0788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ень вопросов (далее - перечень №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1), приведенный в </w:t>
      </w:r>
      <w:hyperlink w:anchor="P142" w:history="1">
        <w:r w:rsidR="008F0788"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F0788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Стандарту.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42" w:history="1"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перечне </w:t>
        </w:r>
        <w:r w:rsidR="008F0788"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выбираемые ответы на каждый вопрос расположены в порядке возрастания оценок, характеризующих степень организации внутреннего финансового аудита по данному признаку: первый ответ - самая низкая оценка (1), последний ответ - самая высокая оценка (7).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Оценки, полученные в результате ответов на вопросы </w:t>
      </w:r>
      <w:hyperlink w:anchor="P142" w:history="1">
        <w:r w:rsidR="008F0788"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 №</w:t>
        </w:r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отражаются в </w:t>
      </w:r>
      <w:hyperlink w:anchor="P354" w:history="1"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таблице 2</w:t>
        </w:r>
      </w:hyperlink>
      <w:r w:rsidR="008F0788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приведенной в приложении №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</w:t>
      </w:r>
      <w:r w:rsidR="008F0788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Стандарту. Последняя </w:t>
      </w:r>
      <w:hyperlink w:anchor="P360" w:history="1"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графа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таблицы 2 характеризует интегральную оценку организации внутреннего финансового аудита в главном администраторе бюджетных средств, администраторе бюджетных средств (на первом этапе оценки), рассчитанную на основе обобщения оценок по всем вопросам </w:t>
      </w:r>
      <w:hyperlink w:anchor="P142" w:history="1">
        <w:r w:rsidR="008F0788"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 №</w:t>
        </w:r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внутреннего финансового аудита оценивается как: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FF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- при интегральной оценке от 5 до 7 баллов;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F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- при интегральной оценке от более чем 2 до менее чем 5 баллов;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FF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- при интегральной оценке от 1 до 2 баллов.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При низкой интегральной оценке организации внутреннего финансового аудита второй этап оценки эффективности внутреннего финансового аудита не проводится, поскольку она считается низкой.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При высокой и средней интегральной оценке организации внутреннего финансового аудита проводится ее второй этап.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355AFF">
        <w:rPr>
          <w:rFonts w:ascii="Times New Roman" w:hAnsi="Times New Roman" w:cs="Times New Roman"/>
          <w:sz w:val="28"/>
          <w:szCs w:val="28"/>
        </w:rPr>
        <w:t>На втором этапе проводятся проверка и анализ результатов осуществления внутреннего финансового аудита, проверяется выполнение субъектом внутреннего финансового аудита поставленных перед ним задач в части оценки степени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установленным методологии и стандартам бюджетного учета, подготовки предложений по повышению экономности и результативности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FF">
        <w:rPr>
          <w:rFonts w:ascii="Times New Roman" w:hAnsi="Times New Roman" w:cs="Times New Roman"/>
          <w:sz w:val="28"/>
          <w:szCs w:val="28"/>
        </w:rPr>
        <w:t xml:space="preserve">На этом этапе следует учитывать результаты проводимых субъектом внутреннего финансового аудита аудиторских проверок в части: объемов </w:t>
      </w:r>
      <w:r w:rsidRPr="00355AFF">
        <w:rPr>
          <w:rFonts w:ascii="Times New Roman" w:hAnsi="Times New Roman" w:cs="Times New Roman"/>
          <w:sz w:val="28"/>
          <w:szCs w:val="28"/>
        </w:rPr>
        <w:lastRenderedPageBreak/>
        <w:t>проверенных бюджетных средств, выявленных нарушений и недостатков в использовании бюджетных средств и государственной собственности, в том числе не по целевому назначению, подготовки бюджетной отчетности и ведения бюджетного учета, а также в части принятых мер по устранению нарушений и недостатков, минимизации бюджетных рисков, повышению экономности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и результативности использования бюджетных средств.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Информация об объемах и структуре нарушений, выявленных по результатам аудиторских проверок субъекта внутреннего финансового 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аудита, и о принятых мерах по их устранению заполняется в соответствии с </w:t>
      </w:r>
      <w:hyperlink w:anchor="P437" w:history="1">
        <w:r w:rsidR="008F0788"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  <w:r w:rsidRPr="00355A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F0788"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</w:t>
      </w:r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Стандарту.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данном этапе анализируются акты аудиторских проверок, проведенных субъектом внутреннего финансового аудита, оцениваются достаточность и надежность доказательств при формировании сделанных им выводов о нарушениях при совершении финансовых и хозяйственных операций, поверяется наличие в отчетах о результатах аудиторских проверок </w:t>
      </w:r>
      <w:r w:rsidRPr="00355AFF">
        <w:rPr>
          <w:rFonts w:ascii="Times New Roman" w:hAnsi="Times New Roman" w:cs="Times New Roman"/>
          <w:sz w:val="28"/>
          <w:szCs w:val="28"/>
        </w:rPr>
        <w:t>предложений и рекомендаций по устранению выявленных нарушений и недостатков, принятию мер по минимизации бюджетных рисков, а также предложений по повышению экономности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и результативности использования бюджетных средств, и проводится их анализ.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Кроме того, анализируются решения руководителя главного администратора бюджетных средств, администратора бюджетных средств по отчетам о результатах внутренних аудиторских проверок, в том числе: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о необходимости реализац</w:t>
      </w:r>
      <w:proofErr w:type="gramStart"/>
      <w:r w:rsidRPr="00355AF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о применении дисциплинарной и (или) материальной ответственности к виновным должностным лицам, а также о проведении служебных проверок;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о направлении субъектом внутреннего финансового аудита материалов в орган исполнительной власти, осуществляющий функции по контролю и надзору в финансово-бюджетной сфере, его территориальные органы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В ходе проверки и анализа эффективности внутреннего финансового аудита проводятся выборочные проверки областей финансово-хозяйственной деятельности, охваченных аудиторскими проверками субъекта внутреннего финансового аудита с учетом наиболее существенных бюджетных рисков, в том числе: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организация внутреннего финансового контроля;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анализ результатов контрольных действий в отношении операций (действий по формированию документов, необходимых для выполнения внутренних бюджетных процедур), связанных с коррупционными рисками.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Результаты таких проверок включаются в акт контрольного </w:t>
      </w:r>
      <w:r w:rsidRPr="00355AF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в части результатов проверки и анализа эффективности внутреннего финансового аудита. Нарушения, которые не были выявлены в отчетном периоде субъектом внутреннего финансового аудита соответствующего главного администратора бюджетных средств, администратора бюджетных средств, но были установлены в ходе проведенных 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КСП </w:t>
      </w:r>
      <w:r w:rsidRPr="00355AFF">
        <w:rPr>
          <w:rFonts w:ascii="Times New Roman" w:hAnsi="Times New Roman" w:cs="Times New Roman"/>
          <w:sz w:val="28"/>
          <w:szCs w:val="28"/>
        </w:rPr>
        <w:t>проверок, фиксируются в акте.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Также проводится сравнительный анализ результатов аудиторских проверок внутреннего финансового аудита с результатами проверок соответствующего главного администратора бюджетных средств, администратора бюджетных средств, проведенных впоследствии 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КСП </w:t>
      </w:r>
      <w:r w:rsidRPr="00355AFF">
        <w:rPr>
          <w:rFonts w:ascii="Times New Roman" w:hAnsi="Times New Roman" w:cs="Times New Roman"/>
          <w:sz w:val="28"/>
          <w:szCs w:val="28"/>
        </w:rPr>
        <w:t xml:space="preserve">и иными органами 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5AFF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4F1EAD" w:rsidRPr="00BD76EE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В целях формализованной оценки результатов осуществления внутреннего финансового аудита и формирования количественных оценок по </w:t>
      </w: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соответствующим признакам на втором этапе используется перечень вопросов, приведенный в </w:t>
      </w:r>
      <w:hyperlink w:anchor="P536" w:history="1">
        <w:r w:rsidR="00A42D23"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A42D23"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Стандарту (далее - перечень №</w:t>
      </w: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4F1EAD" w:rsidRPr="00BD76EE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36" w:history="1"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перечне </w:t>
        </w:r>
        <w:r w:rsidR="00A42D23"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выбираемые ответы на каждый вопрос расположены в порядке возрастания оценок, характеризующих степень оценки результатов осуществления внутреннего финансового аудита по данному признаку: первый ответ - самая низкая оценка (0), последний ответ - самая высокая оценка (3).</w:t>
      </w:r>
    </w:p>
    <w:p w:rsidR="004F1EAD" w:rsidRPr="00BD76EE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Оценки, полученные в результате ответов на вопросы </w:t>
      </w:r>
      <w:hyperlink w:anchor="P536" w:history="1">
        <w:r w:rsidR="00A42D23"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 №</w:t>
        </w:r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отражаются в </w:t>
      </w:r>
      <w:hyperlink w:anchor="P591" w:history="1"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таблице 1</w:t>
        </w:r>
      </w:hyperlink>
      <w:r w:rsidR="00A42D23"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приведенной в приложении №</w:t>
      </w: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</w:t>
      </w:r>
      <w:r w:rsidR="00A42D23"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</w:t>
      </w: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Стандарту. Последняя </w:t>
      </w:r>
      <w:hyperlink w:anchor="P597" w:history="1"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графа</w:t>
        </w:r>
      </w:hyperlink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таблицы 1 характеризует интегральную оценку результатов осуществления внутреннего финансового аудита в главном администраторе бюджетных средств, администраторе бюджетных средств, рассчитанную на основе обобщения оценок по всем вопросам </w:t>
      </w:r>
      <w:hyperlink w:anchor="P536" w:history="1">
        <w:r w:rsidR="00A42D23"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 №</w:t>
        </w:r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результатов осуществления внутреннего финансового аудита </w:t>
      </w:r>
      <w:r w:rsidRPr="00355AFF">
        <w:rPr>
          <w:rFonts w:ascii="Times New Roman" w:hAnsi="Times New Roman" w:cs="Times New Roman"/>
          <w:sz w:val="28"/>
          <w:szCs w:val="28"/>
        </w:rPr>
        <w:t>является: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FF">
        <w:rPr>
          <w:rFonts w:ascii="Times New Roman" w:hAnsi="Times New Roman" w:cs="Times New Roman"/>
          <w:sz w:val="28"/>
          <w:szCs w:val="28"/>
        </w:rPr>
        <w:t>высокой - при интегральной оценке от 2 до 3 баллов;</w:t>
      </w:r>
      <w:proofErr w:type="gramEnd"/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AFF">
        <w:rPr>
          <w:rFonts w:ascii="Times New Roman" w:hAnsi="Times New Roman" w:cs="Times New Roman"/>
          <w:sz w:val="28"/>
          <w:szCs w:val="28"/>
        </w:rPr>
        <w:t>средней - при интегральной оценке от более чем 1 до менее чем 2 баллов;</w:t>
      </w:r>
      <w:proofErr w:type="gramEnd"/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низкой - при интегральной оценке от 0 до 1 баллов.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5.3. По итогам двух этапов оценки внутреннего финансового аудита </w:t>
      </w: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делается обобщающий вывод об эффективности внутреннего финансового аудита в соответствии с матрицей, приведенной в </w:t>
      </w:r>
      <w:hyperlink w:anchor="P625" w:history="1">
        <w:r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таблице 2</w:t>
        </w:r>
      </w:hyperlink>
      <w:r w:rsidR="00A42D23"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</w:t>
      </w: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Pr="00355AFF">
        <w:rPr>
          <w:rFonts w:ascii="Times New Roman" w:hAnsi="Times New Roman" w:cs="Times New Roman"/>
          <w:sz w:val="28"/>
          <w:szCs w:val="28"/>
        </w:rPr>
        <w:t>к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355AFF">
        <w:rPr>
          <w:rFonts w:ascii="Times New Roman" w:hAnsi="Times New Roman" w:cs="Times New Roman"/>
          <w:sz w:val="28"/>
          <w:szCs w:val="28"/>
        </w:rPr>
        <w:t xml:space="preserve"> Стандарту.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4F1EAD" w:rsidP="00355A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355AFF" w:rsidRDefault="006511D9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F1EAD" w:rsidRPr="00355AFF">
        <w:rPr>
          <w:rFonts w:ascii="Times New Roman" w:hAnsi="Times New Roman" w:cs="Times New Roman"/>
          <w:sz w:val="28"/>
          <w:szCs w:val="28"/>
        </w:rPr>
        <w:t xml:space="preserve">Результаты проверки и анализа эффективности внутреннего финансового аудита используются при планировании контрольных и экспертно-аналитических мероприятий 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КСП </w:t>
      </w:r>
      <w:r w:rsidR="004F1EAD" w:rsidRPr="00355AFF">
        <w:rPr>
          <w:rFonts w:ascii="Times New Roman" w:hAnsi="Times New Roman" w:cs="Times New Roman"/>
          <w:sz w:val="28"/>
          <w:szCs w:val="28"/>
        </w:rPr>
        <w:t>в главных администраторах бюджетных средств, администраторах бюджетных средств: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lastRenderedPageBreak/>
        <w:t>при низком уровне эффективности результаты внутреннего финансового аудита не учитываются;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при среднем уровне эффективности результаты внутреннего финансового аудита следует учитывать при формировании вопросов программ проведения самостоятельных тематических контрольных и экспертно-аналитических мероприятий;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>при высоком уровне эффективности в программы проведения самостоятельных тематических контрольных и экспертно-аналитических мероприятий следует включать вопросы, которые не были охвачены внутренним финансовым аудитом.</w:t>
      </w:r>
    </w:p>
    <w:p w:rsidR="004F1EAD" w:rsidRPr="00355AFF" w:rsidRDefault="004F1EAD" w:rsidP="0035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6.2. Результаты проверки и анализа эффективности внутреннего финансового аудита в рамках осуществления последующего </w:t>
      </w:r>
      <w:proofErr w:type="gramStart"/>
      <w:r w:rsidRPr="00355A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5AFF">
        <w:rPr>
          <w:rFonts w:ascii="Times New Roman" w:hAnsi="Times New Roman" w:cs="Times New Roman"/>
          <w:sz w:val="28"/>
          <w:szCs w:val="28"/>
        </w:rPr>
        <w:t xml:space="preserve"> исполнением бюджета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 гор</w:t>
      </w:r>
      <w:r w:rsidR="00BD76EE">
        <w:rPr>
          <w:rFonts w:ascii="Times New Roman" w:hAnsi="Times New Roman" w:cs="Times New Roman"/>
          <w:sz w:val="28"/>
          <w:szCs w:val="28"/>
        </w:rPr>
        <w:t>о</w:t>
      </w:r>
      <w:r w:rsidR="00A42D23" w:rsidRPr="00355AFF">
        <w:rPr>
          <w:rFonts w:ascii="Times New Roman" w:hAnsi="Times New Roman" w:cs="Times New Roman"/>
          <w:sz w:val="28"/>
          <w:szCs w:val="28"/>
        </w:rPr>
        <w:t>да Железногорска</w:t>
      </w:r>
      <w:r w:rsidRPr="00355AFF">
        <w:rPr>
          <w:rFonts w:ascii="Times New Roman" w:hAnsi="Times New Roman" w:cs="Times New Roman"/>
          <w:sz w:val="28"/>
          <w:szCs w:val="28"/>
        </w:rPr>
        <w:t xml:space="preserve"> включаются в акты, составленные по результатам проведения контрольных мероприятий на объектах. Содержащаяся в актах информация, а также предложения (рекомендации) используются при подготовке соответствующих заключений 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КСП </w:t>
      </w:r>
      <w:r w:rsidRPr="00355AFF">
        <w:rPr>
          <w:rFonts w:ascii="Times New Roman" w:hAnsi="Times New Roman" w:cs="Times New Roman"/>
          <w:sz w:val="28"/>
          <w:szCs w:val="28"/>
        </w:rPr>
        <w:t xml:space="preserve">по главным администраторам бюджетных средств, а также заключения 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КСП </w:t>
      </w:r>
      <w:r w:rsidRPr="00355AFF">
        <w:rPr>
          <w:rFonts w:ascii="Times New Roman" w:hAnsi="Times New Roman" w:cs="Times New Roman"/>
          <w:sz w:val="28"/>
          <w:szCs w:val="28"/>
        </w:rPr>
        <w:t>на отчет об исполнении бюджета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355AFF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4F1EAD" w:rsidRDefault="004F1EAD" w:rsidP="006511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AFF">
        <w:rPr>
          <w:rFonts w:ascii="Times New Roman" w:hAnsi="Times New Roman" w:cs="Times New Roman"/>
          <w:sz w:val="28"/>
          <w:szCs w:val="28"/>
        </w:rPr>
        <w:t xml:space="preserve">Результаты проверки и анализа эффективности внутреннего финансового аудита по итогам самостоятельных контрольных мероприятий включаются в акты, составленные по результатам контрольных мероприятий на объектах. Содержащаяся в актах информация, а также предложения (рекомендации) используются при подготовке отчетов по результатам контрольных мероприятий в соответствии с требованиями </w:t>
      </w:r>
      <w:r w:rsidR="00A42D23" w:rsidRPr="00355AFF">
        <w:rPr>
          <w:rFonts w:ascii="Times New Roman" w:hAnsi="Times New Roman" w:cs="Times New Roman"/>
          <w:sz w:val="28"/>
          <w:szCs w:val="28"/>
        </w:rPr>
        <w:t>Стандарта</w:t>
      </w:r>
      <w:r w:rsidR="00A42D23" w:rsidRPr="00355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СВМФК 1 «Общие </w:t>
      </w:r>
      <w:r w:rsidR="00A42D23"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проведения контрольного мероприятия»</w:t>
      </w:r>
      <w:r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11D9" w:rsidRDefault="006511D9" w:rsidP="006511D9">
      <w:pPr>
        <w:ind w:firstLine="709"/>
        <w:jc w:val="both"/>
      </w:pPr>
      <w:r>
        <w:rPr>
          <w:sz w:val="28"/>
        </w:rPr>
        <w:t>В представлениях и предписаниях КСП не указывается информация о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4F1EAD" w:rsidRPr="00355AFF" w:rsidRDefault="003726C9" w:rsidP="00651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F1EAD" w:rsidRPr="00BD7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Результаты</w:t>
        </w:r>
      </w:hyperlink>
      <w:r w:rsidR="004F1EAD" w:rsidRPr="00BD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и анализа эффективности внутреннего финансового аудита, а также предложения (рекомендации) по итогам экспертно</w:t>
      </w:r>
      <w:r w:rsidR="004F1EAD" w:rsidRPr="00355AFF">
        <w:rPr>
          <w:rFonts w:ascii="Times New Roman" w:hAnsi="Times New Roman" w:cs="Times New Roman"/>
          <w:sz w:val="28"/>
          <w:szCs w:val="28"/>
        </w:rPr>
        <w:t>-аналитических мероприятий включаются в отчеты по результатам экспертно-аналитических мероприятий в соответствии с требованиями</w:t>
      </w:r>
      <w:r w:rsidR="00A42D23" w:rsidRPr="00355AFF">
        <w:rPr>
          <w:rFonts w:ascii="Times New Roman" w:hAnsi="Times New Roman" w:cs="Times New Roman"/>
          <w:sz w:val="28"/>
          <w:szCs w:val="28"/>
        </w:rPr>
        <w:t xml:space="preserve"> Стандартом финансового контроля СФК 2 «Проведение экспертно-аналитического мероприятия»</w:t>
      </w:r>
      <w:r w:rsidR="004F1EAD" w:rsidRPr="00355AFF">
        <w:rPr>
          <w:rFonts w:ascii="Times New Roman" w:hAnsi="Times New Roman" w:cs="Times New Roman"/>
          <w:sz w:val="28"/>
          <w:szCs w:val="28"/>
        </w:rPr>
        <w:t>.</w:t>
      </w:r>
    </w:p>
    <w:p w:rsidR="00EE0E0E" w:rsidRDefault="00EE0E0E" w:rsidP="00CA52FB"/>
    <w:p w:rsidR="004F1EAD" w:rsidRDefault="004F1EAD" w:rsidP="00CA52FB"/>
    <w:p w:rsidR="00C90668" w:rsidRDefault="00C90668" w:rsidP="00CA52FB"/>
    <w:p w:rsidR="00C90668" w:rsidRDefault="00C90668" w:rsidP="00CA52FB"/>
    <w:p w:rsidR="00C90668" w:rsidRDefault="00C90668" w:rsidP="00CA52FB"/>
    <w:p w:rsidR="00C90668" w:rsidRDefault="00C90668" w:rsidP="00CA52FB"/>
    <w:p w:rsidR="00C90668" w:rsidRDefault="00C90668" w:rsidP="00CA52FB"/>
    <w:p w:rsidR="00C90668" w:rsidRDefault="00C90668" w:rsidP="00CA52FB"/>
    <w:p w:rsidR="00C90668" w:rsidRDefault="00C90668" w:rsidP="00CA52FB"/>
    <w:p w:rsidR="004F1EAD" w:rsidRDefault="004F1EAD" w:rsidP="00CA52FB"/>
    <w:p w:rsidR="004F1EAD" w:rsidRPr="006511D9" w:rsidRDefault="004F1EAD" w:rsidP="004F1EA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511D9">
        <w:rPr>
          <w:rFonts w:ascii="Times New Roman" w:hAnsi="Times New Roman" w:cs="Times New Roman"/>
        </w:rPr>
        <w:lastRenderedPageBreak/>
        <w:t xml:space="preserve">Приложение </w:t>
      </w:r>
      <w:r w:rsidR="006511D9">
        <w:rPr>
          <w:rFonts w:ascii="Times New Roman" w:hAnsi="Times New Roman" w:cs="Times New Roman"/>
        </w:rPr>
        <w:t>№</w:t>
      </w:r>
      <w:r w:rsidRPr="006511D9">
        <w:rPr>
          <w:rFonts w:ascii="Times New Roman" w:hAnsi="Times New Roman" w:cs="Times New Roman"/>
        </w:rPr>
        <w:t xml:space="preserve"> 1</w:t>
      </w:r>
    </w:p>
    <w:p w:rsidR="004F1EAD" w:rsidRPr="006511D9" w:rsidRDefault="006511D9" w:rsidP="004F1E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</w:t>
      </w:r>
      <w:r w:rsidR="004F1EAD" w:rsidRPr="006511D9">
        <w:rPr>
          <w:rFonts w:ascii="Times New Roman" w:hAnsi="Times New Roman" w:cs="Times New Roman"/>
        </w:rPr>
        <w:t xml:space="preserve">тандарту </w:t>
      </w:r>
      <w:proofErr w:type="gramStart"/>
      <w:r w:rsidR="004F1EAD" w:rsidRPr="006511D9">
        <w:rPr>
          <w:rFonts w:ascii="Times New Roman" w:hAnsi="Times New Roman" w:cs="Times New Roman"/>
        </w:rPr>
        <w:t>внешнего</w:t>
      </w:r>
      <w:proofErr w:type="gramEnd"/>
    </w:p>
    <w:p w:rsidR="004F1EAD" w:rsidRPr="006511D9" w:rsidRDefault="006511D9" w:rsidP="004F1EAD">
      <w:pPr>
        <w:pStyle w:val="ConsPlusNormal"/>
        <w:jc w:val="right"/>
        <w:rPr>
          <w:rFonts w:ascii="Times New Roman" w:hAnsi="Times New Roman" w:cs="Times New Roman"/>
        </w:rPr>
      </w:pPr>
      <w:r w:rsidRPr="006511D9">
        <w:rPr>
          <w:rFonts w:ascii="Times New Roman" w:hAnsi="Times New Roman" w:cs="Times New Roman"/>
        </w:rPr>
        <w:t xml:space="preserve">муниципального </w:t>
      </w:r>
      <w:r w:rsidR="004F1EAD" w:rsidRPr="006511D9">
        <w:rPr>
          <w:rFonts w:ascii="Times New Roman" w:hAnsi="Times New Roman" w:cs="Times New Roman"/>
        </w:rPr>
        <w:t>аудита (контроля)</w:t>
      </w:r>
    </w:p>
    <w:p w:rsidR="004F1EAD" w:rsidRPr="006511D9" w:rsidRDefault="006511D9" w:rsidP="004F1EAD">
      <w:pPr>
        <w:pStyle w:val="ConsPlusNormal"/>
        <w:jc w:val="right"/>
        <w:rPr>
          <w:rFonts w:ascii="Times New Roman" w:hAnsi="Times New Roman" w:cs="Times New Roman"/>
        </w:rPr>
      </w:pPr>
      <w:r w:rsidRPr="006511D9">
        <w:rPr>
          <w:rFonts w:ascii="Times New Roman" w:hAnsi="Times New Roman" w:cs="Times New Roman"/>
        </w:rPr>
        <w:t>СМ</w:t>
      </w:r>
      <w:r w:rsidR="004F1EAD" w:rsidRPr="006511D9">
        <w:rPr>
          <w:rFonts w:ascii="Times New Roman" w:hAnsi="Times New Roman" w:cs="Times New Roman"/>
        </w:rPr>
        <w:t xml:space="preserve">А </w:t>
      </w:r>
      <w:r w:rsidRPr="006511D9">
        <w:rPr>
          <w:rFonts w:ascii="Times New Roman" w:hAnsi="Times New Roman" w:cs="Times New Roman"/>
        </w:rPr>
        <w:t>1 «</w:t>
      </w:r>
      <w:r w:rsidR="004F1EAD" w:rsidRPr="006511D9">
        <w:rPr>
          <w:rFonts w:ascii="Times New Roman" w:hAnsi="Times New Roman" w:cs="Times New Roman"/>
        </w:rPr>
        <w:t>Проверка и анализ</w:t>
      </w:r>
    </w:p>
    <w:p w:rsidR="004F1EAD" w:rsidRPr="006511D9" w:rsidRDefault="004F1EAD" w:rsidP="004F1EAD">
      <w:pPr>
        <w:pStyle w:val="ConsPlusNormal"/>
        <w:jc w:val="right"/>
        <w:rPr>
          <w:rFonts w:ascii="Times New Roman" w:hAnsi="Times New Roman" w:cs="Times New Roman"/>
        </w:rPr>
      </w:pPr>
      <w:r w:rsidRPr="006511D9">
        <w:rPr>
          <w:rFonts w:ascii="Times New Roman" w:hAnsi="Times New Roman" w:cs="Times New Roman"/>
        </w:rPr>
        <w:t xml:space="preserve">эффективности </w:t>
      </w:r>
      <w:proofErr w:type="gramStart"/>
      <w:r w:rsidRPr="006511D9">
        <w:rPr>
          <w:rFonts w:ascii="Times New Roman" w:hAnsi="Times New Roman" w:cs="Times New Roman"/>
        </w:rPr>
        <w:t>внутреннего</w:t>
      </w:r>
      <w:proofErr w:type="gramEnd"/>
    </w:p>
    <w:p w:rsidR="004F1EAD" w:rsidRPr="006511D9" w:rsidRDefault="004F1EAD" w:rsidP="004F1EAD">
      <w:pPr>
        <w:pStyle w:val="ConsPlusNormal"/>
        <w:jc w:val="right"/>
        <w:rPr>
          <w:rFonts w:ascii="Times New Roman" w:hAnsi="Times New Roman" w:cs="Times New Roman"/>
        </w:rPr>
      </w:pPr>
      <w:r w:rsidRPr="006511D9">
        <w:rPr>
          <w:rFonts w:ascii="Times New Roman" w:hAnsi="Times New Roman" w:cs="Times New Roman"/>
        </w:rPr>
        <w:t>финансового аудита</w:t>
      </w:r>
      <w:r w:rsidR="006511D9" w:rsidRPr="006511D9">
        <w:rPr>
          <w:rFonts w:ascii="Times New Roman" w:hAnsi="Times New Roman" w:cs="Times New Roman"/>
        </w:rPr>
        <w:t>»</w:t>
      </w:r>
    </w:p>
    <w:p w:rsidR="004F1EAD" w:rsidRDefault="004F1EAD" w:rsidP="004F1EAD">
      <w:pPr>
        <w:pStyle w:val="ConsPlusNormal"/>
        <w:jc w:val="both"/>
      </w:pPr>
    </w:p>
    <w:p w:rsidR="004F1EAD" w:rsidRPr="006511D9" w:rsidRDefault="004F1EAD" w:rsidP="00651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2"/>
      <w:bookmarkEnd w:id="2"/>
      <w:r w:rsidRPr="006511D9">
        <w:rPr>
          <w:rFonts w:ascii="Times New Roman" w:hAnsi="Times New Roman" w:cs="Times New Roman"/>
          <w:sz w:val="28"/>
          <w:szCs w:val="28"/>
        </w:rPr>
        <w:t>ПЕРЕЧЕНЬ</w:t>
      </w:r>
    </w:p>
    <w:p w:rsidR="004F1EAD" w:rsidRPr="006511D9" w:rsidRDefault="004F1EAD" w:rsidP="00651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ВОПРОСОВ ДЛЯ ОЦЕНКИ ОРГАНИЗАЦИИ 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4F1EAD" w:rsidRPr="006511D9" w:rsidRDefault="004F1EAD" w:rsidP="00651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Отметьте галочкой (V) соответствующий ответ: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1. Управление и структура внутреннего 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1.1. Наличие и характеристика правового акта главного администратора бюджетных средств, администратора бюджетных средств об организации внутреннего 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Отсутствие правового акта об организации внутреннего финансового аудита.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 Наличие правового акта главного администратора бюджетных средств, администратора бюджетных средств об организации внутреннего финансового аудита, который не обеспечивает независимость субъекта внутреннего финансового аудита и (или) не содержит единый подход к разработке ведомственного порядка осуществления внутреннего финансового аудита.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____7 Наличие правового акта главного администратора бюджетных средств, администратора бюджетных средств об организации внутреннего финансового аудита, который 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>обеспечивает независимость субъекта внутреннего финансового аудита и определяет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 xml:space="preserve"> единый подход к разработке ведомственного порядка осуществления внутреннего финансового аудита.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1.2. Закрепление распределения полномочий и ответственности по организации и осуществлению внутреннего 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Полномочия по организации и осуществлению внутреннего финансового аудита не закреплены.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____3 Полномочия по организации и осуществлению внутреннего финансового аудита закреплены в отдельных должностных регламентах (инструкциях) наряду с основными функциями (обязанностями).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____5 Полномочия по организации и осуществлению внутреннего финансового аудита закреплены в положениях о структурных подразделениях главного администратора бюджетных средств, администратора бюджетных средств наряду с основными функциями (задачами).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lastRenderedPageBreak/>
        <w:t xml:space="preserve">____7 Полномочия субъекта внутреннего финансового аудита как самостоятельного структурного подразделения главного администратора бюджетных средств, администратора бюджетных средств закреплены соответствующим положением. 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 xml:space="preserve"> должностные регламенты и инструкции сотрудников аудиторского подразделения, осуществляющих внутренний финансовый аудит.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1.3. Укомплектованность субъекта внутреннего финансового аудита сотрудниками с учетом требований к профессиональным знаниям и навыкам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Укомплектованность по количеству недостаточная для реализации задач внутреннего финансового аудита.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 Укомплектованность по количеству достаточная для реализации задач внутреннего финансового аудита, но большинство сотрудников субъекта внутреннего финансового аудита не имеют дипломов высшего профессионального образования по экономическим, юридическим направлениям подготовки (специальностям).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Укомплектованность по количеству достаточная и большинство сотрудников субъекта внутреннего финансового аудита имеют дипломы высшего профессионального образования по экономическим, юридическим направлениям подготовки (специальностям).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1.4. Применение автоматизированных информационных систем объектами внутреннего финансового аудита при осуществлении </w:t>
      </w:r>
      <w:proofErr w:type="spellStart"/>
      <w:r w:rsidRPr="006511D9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Pr="006511D9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 применяются.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рименяются частично.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рименяются в полной мере.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2. Организация планирования внутреннего 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2.1. Годовое планирование внутреннего финансового аудита и программы аудиторских проверок, их соответствие нормативным правовым актам Российской Федерации в сфере внутреннего финансового аудита (наличие установленного порядка составления, утверждения и ведения годового плана, наличие годового плана и программ аудиторских проверок, их форма, срок утверждения годового плана и др.)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Порядок составления, утверждения и ведения годового плана и (или) годовой план осуществления внутреннего финансового аудита и программы аудиторских проверок отсутствуют.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____4 Годовой план осуществления внутреннего финансового аудита и программы аудиторских проверок имеются, но порядок его составления, </w:t>
      </w:r>
      <w:r w:rsidRPr="006511D9">
        <w:rPr>
          <w:rFonts w:ascii="Times New Roman" w:hAnsi="Times New Roman" w:cs="Times New Roman"/>
          <w:sz w:val="28"/>
          <w:szCs w:val="28"/>
        </w:rPr>
        <w:lastRenderedPageBreak/>
        <w:t>утверждения и ведения не соответствует нормативным правовым актам Российской Федерации в сфере внутреннего финансового аудита.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Годовой план осуществления внутреннего финансового аудита и программы аудиторских проверок имеются, порядок составления, утверждения и ведения соответствует нормативным правовым актам Российской Федерации в сфере внутреннего финансового аудита.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2.2. Степень учета субъектом внутреннего финансового аудита факторов, влияющих на качество составления годового плана внутреннего финансового аудита и программ аудиторских проверок (значимость операций, объем выборки, степень обеспеченности субъекта внутреннего финансового аудита ресурсами и др.)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Указанные факторы не учитываются.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 Указанные факторы учитываются частично.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Указанные факторы учитываются полностью.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2.3. Организация планирования аудиторских проверок в объектах внутреннего финансового аудита, включая применение субъектом внутреннего финансового аудита оценки бюджетных рисков при планирован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диторских проверок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Планирование аудиторских проверок организовано без применения оценки бюджетных рисков при планирован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диторских проверок.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____4 Планирование аудиторских проверок организовано на основе разовой оценки бюджетных 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>рисков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 xml:space="preserve"> на стадии подготовки планов внутреннего финансового аудита.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Планирование аудиторских проверок организовано с применением оценки бюджетных рисков в главном администраторе бюджетных средств, администраторе бюджетных средств.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Проведение субъектом внутреннего финансового аудита предварительного анализа данных об объектах аудита при составлении программы аудиторской проверки (в том числе сведений о результатах осуществления внутреннего финансового контроля за период, подлежащий аудиторской проверке, сведений о результатах, проведенных в проверяемом периоде контрольных мероприятий </w:t>
      </w:r>
      <w:r w:rsidR="003B796A">
        <w:rPr>
          <w:rFonts w:ascii="Times New Roman" w:hAnsi="Times New Roman" w:cs="Times New Roman"/>
          <w:sz w:val="28"/>
          <w:szCs w:val="28"/>
        </w:rPr>
        <w:t>Контрольно-с</w:t>
      </w:r>
      <w:r w:rsidRPr="006511D9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 w:rsidR="003B796A">
        <w:rPr>
          <w:rFonts w:ascii="Times New Roman" w:hAnsi="Times New Roman" w:cs="Times New Roman"/>
          <w:sz w:val="28"/>
          <w:szCs w:val="28"/>
        </w:rPr>
        <w:t>города Железногорска</w:t>
      </w:r>
      <w:r w:rsidRPr="006511D9">
        <w:rPr>
          <w:rFonts w:ascii="Times New Roman" w:hAnsi="Times New Roman" w:cs="Times New Roman"/>
          <w:sz w:val="28"/>
          <w:szCs w:val="28"/>
        </w:rPr>
        <w:t xml:space="preserve"> и </w:t>
      </w:r>
      <w:r w:rsidR="003B796A">
        <w:rPr>
          <w:rFonts w:ascii="Times New Roman" w:hAnsi="Times New Roman" w:cs="Times New Roman"/>
          <w:sz w:val="28"/>
          <w:szCs w:val="28"/>
        </w:rPr>
        <w:t>органов Администрации города Железногорска</w:t>
      </w:r>
      <w:r w:rsidRPr="006511D9">
        <w:rPr>
          <w:rFonts w:ascii="Times New Roman" w:hAnsi="Times New Roman" w:cs="Times New Roman"/>
          <w:sz w:val="28"/>
          <w:szCs w:val="28"/>
        </w:rPr>
        <w:t>, осуществляющих функции по контролю и надзору в финансово-бюджетной сфере)</w:t>
      </w:r>
      <w:proofErr w:type="gramEnd"/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 проводится.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роводится частично.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роводится в полной мере.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3. Организация осуществления внутреннего финансового аудита, включая степень охвата аудиторскими проверками объектов внутреннего финансового аудита, подведомственных главному администратору бюджетных средств, администратору бюджетных средств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3.1. Степень охвата аудиторскими проверками объектов внутреннего финансового аудита, подведомственных главному распорядителю (распорядителю) бюджет</w:t>
      </w:r>
      <w:r w:rsidR="00B703C3">
        <w:rPr>
          <w:rFonts w:ascii="Times New Roman" w:hAnsi="Times New Roman" w:cs="Times New Roman"/>
          <w:sz w:val="28"/>
          <w:szCs w:val="28"/>
        </w:rPr>
        <w:t>ных средств города Железногорска</w:t>
      </w:r>
      <w:r w:rsidRPr="006511D9">
        <w:rPr>
          <w:rFonts w:ascii="Times New Roman" w:hAnsi="Times New Roman" w:cs="Times New Roman"/>
          <w:sz w:val="28"/>
          <w:szCs w:val="28"/>
        </w:rPr>
        <w:t xml:space="preserve"> (заполняется в случае наличия таких объектов), по данным отчетного года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____1 Аудиторскими проверками внутреннего финансового аудита охвачено от 0 (включительно) до 14,3% объектов внутреннего финансового аудита, подведомственных главному распорядителю (распорядителю) </w:t>
      </w:r>
      <w:r w:rsidR="00B703C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511D9">
        <w:rPr>
          <w:rFonts w:ascii="Times New Roman" w:hAnsi="Times New Roman" w:cs="Times New Roman"/>
          <w:sz w:val="28"/>
          <w:szCs w:val="28"/>
        </w:rPr>
        <w:t>средств.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____2 Аудиторскими проверками внутреннего финансового аудита охвачено от 14,3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28,6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 xml:space="preserve">% объектов внутреннего финансового аудита, подведомственных главному распорядителю (распорядителю) </w:t>
      </w:r>
      <w:r w:rsidR="00B703C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511D9">
        <w:rPr>
          <w:rFonts w:ascii="Times New Roman" w:hAnsi="Times New Roman" w:cs="Times New Roman"/>
          <w:sz w:val="28"/>
          <w:szCs w:val="28"/>
        </w:rPr>
        <w:t>средств.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____3 Аудиторскими проверками внутреннего финансового аудита охвачено от 28,6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42,9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 xml:space="preserve">% объектов внутреннего финансового аудита, подведомственных главному распорядителю (распорядителю) </w:t>
      </w:r>
      <w:r w:rsidR="00B703C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511D9">
        <w:rPr>
          <w:rFonts w:ascii="Times New Roman" w:hAnsi="Times New Roman" w:cs="Times New Roman"/>
          <w:sz w:val="28"/>
          <w:szCs w:val="28"/>
        </w:rPr>
        <w:t>средств.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 Аудиторскими проверками внутреннего финансового аудита охвачено от 42,9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57,2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 xml:space="preserve">% объектов внутреннего финансового аудита, подведомственных главному распорядителю (распорядителю) </w:t>
      </w:r>
      <w:r w:rsidR="00B703C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511D9">
        <w:rPr>
          <w:rFonts w:ascii="Times New Roman" w:hAnsi="Times New Roman" w:cs="Times New Roman"/>
          <w:sz w:val="28"/>
          <w:szCs w:val="28"/>
        </w:rPr>
        <w:t>средств.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____5 Аудиторскими проверками внутреннего финансового аудита охвачено от 57,2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71,5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 xml:space="preserve">% объектов внутреннего финансового аудита, подведомственных главному распорядителю (распорядителю) </w:t>
      </w:r>
      <w:r w:rsidR="00B703C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511D9">
        <w:rPr>
          <w:rFonts w:ascii="Times New Roman" w:hAnsi="Times New Roman" w:cs="Times New Roman"/>
          <w:sz w:val="28"/>
          <w:szCs w:val="28"/>
        </w:rPr>
        <w:t>средств.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____6 Аудиторскими проверками внутреннего финансового аудита охвачено от 71,5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85,8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 xml:space="preserve">% объектов внутреннего финансового аудита, подведомственных главному распорядителю (распорядителю) </w:t>
      </w:r>
      <w:r w:rsidR="00B703C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511D9">
        <w:rPr>
          <w:rFonts w:ascii="Times New Roman" w:hAnsi="Times New Roman" w:cs="Times New Roman"/>
          <w:sz w:val="28"/>
          <w:szCs w:val="28"/>
        </w:rPr>
        <w:t>средств.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Аудиторскими проверками внутреннего финансового аудита охвачено от 85,8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100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 xml:space="preserve">% (включительно) объектов внутреннего финансового аудита, подведомственных главному распорядителю (распорядителю) </w:t>
      </w:r>
      <w:r w:rsidR="00B703C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511D9">
        <w:rPr>
          <w:rFonts w:ascii="Times New Roman" w:hAnsi="Times New Roman" w:cs="Times New Roman"/>
          <w:sz w:val="28"/>
          <w:szCs w:val="28"/>
        </w:rPr>
        <w:t>средств.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3.2. Степень охвата аудиторскими проверками объектов внутреннего финансового аудита, подведомственных главному </w:t>
      </w:r>
      <w:r w:rsidR="00B703C3">
        <w:rPr>
          <w:rFonts w:ascii="Times New Roman" w:hAnsi="Times New Roman" w:cs="Times New Roman"/>
          <w:sz w:val="28"/>
          <w:szCs w:val="28"/>
        </w:rPr>
        <w:t xml:space="preserve">администратору (администратору) </w:t>
      </w:r>
      <w:r w:rsidRPr="006511D9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B703C3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6511D9">
        <w:rPr>
          <w:rFonts w:ascii="Times New Roman" w:hAnsi="Times New Roman" w:cs="Times New Roman"/>
          <w:sz w:val="28"/>
          <w:szCs w:val="28"/>
        </w:rPr>
        <w:t>, по данным отчетного года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Аудиторскими проверками внутреннего финансового аудита охвачено от 0 (включительно) до 14,3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доходов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____2 Аудиторскими проверками внутреннего финансового аудита охвачено от 14,3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28,6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доходов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____3 Аудиторскими проверками внутреннего финансового аудита охвачено от 28,6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42,9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доходов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 Аудиторскими проверками внутреннего финансового аудита охвачено от 42,9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57,2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доходов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____5 Аудиторскими проверками внутреннего финансового аудита охвачено от 57,2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71,5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доходов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____6 Аудиторскими проверками внутреннего финансового аудита охвачено от 71,5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85,8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доходов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Аудиторскими проверками внутреннего финансового аудита охвачено от 85,8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до 100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объектов внутреннего финансового аудита, подведомственных главному администратору (администратору) доходов бюджета.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3.3. Степень охвата аудиторскими проверками объектов внутреннего финансового аудита, подведомственных главному администратору (администратору) источников финансирования дефицита бюджета  (заполняется в случае наличия таких объектов), по данным отчетного года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Аудиторскими проверками внутреннего финансового аудита охвачено от 0 (включительно) до 14,3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источников финансирования дефицита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____2 Аудиторскими проверками внутреннего финансового аудита охвачено от 14,3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28,6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источников финансирования дефицита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____3 Аудиторскими проверками внутреннего финансового аудита </w:t>
      </w:r>
      <w:r w:rsidRPr="006511D9">
        <w:rPr>
          <w:rFonts w:ascii="Times New Roman" w:hAnsi="Times New Roman" w:cs="Times New Roman"/>
          <w:sz w:val="28"/>
          <w:szCs w:val="28"/>
        </w:rPr>
        <w:lastRenderedPageBreak/>
        <w:t>охвачено от 28,6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42,9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источников финансирования дефицита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 Аудиторскими проверками внутреннего финансового аудита охвачено от 42,9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57,2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источников финансирования дефицита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____5 Аудиторскими проверками внутреннего финансового аудита охвачено от 57,2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71,5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источников финансирования дефицита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____6 Аудиторскими проверками внутреннего финансового аудита охвачено от 71,5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85,8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объектов внутреннего финансового аудита, подведомственных главному администратору (администратору) источников финансирования дефицита бюджета.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Аудиторскими проверками внутреннего финансового аудита охвачено от 85,8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до 100</w:t>
      </w:r>
      <w:r w:rsidR="00FE5EC1">
        <w:rPr>
          <w:rFonts w:ascii="Times New Roman" w:hAnsi="Times New Roman" w:cs="Times New Roman"/>
          <w:sz w:val="28"/>
          <w:szCs w:val="28"/>
        </w:rPr>
        <w:t xml:space="preserve"> </w:t>
      </w:r>
      <w:r w:rsidRPr="006511D9">
        <w:rPr>
          <w:rFonts w:ascii="Times New Roman" w:hAnsi="Times New Roman" w:cs="Times New Roman"/>
          <w:sz w:val="28"/>
          <w:szCs w:val="28"/>
        </w:rPr>
        <w:t>% (включительно) объектов внутреннего финансового аудита, главному администратору (администратору) источников финансирования дефицита бюджета.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3.4. Соответствие процедур проведения аудиторских проверок нормативным правовым актам Российской Федерации в сфере внутреннего финансового аудита &lt;</w:t>
      </w:r>
      <w:r w:rsidR="00156271">
        <w:rPr>
          <w:rFonts w:ascii="Times New Roman" w:hAnsi="Times New Roman" w:cs="Times New Roman"/>
          <w:sz w:val="28"/>
          <w:szCs w:val="28"/>
        </w:rPr>
        <w:t>пункт 2.2. Стандарта</w:t>
      </w:r>
      <w:r w:rsidRPr="006511D9">
        <w:rPr>
          <w:rFonts w:ascii="Times New Roman" w:hAnsi="Times New Roman" w:cs="Times New Roman"/>
          <w:sz w:val="28"/>
          <w:szCs w:val="28"/>
        </w:rPr>
        <w:t>&gt; (методы аудита, наличие аудиторских доказательств, документы, подготавливаемые и получаемые в ходе проведения аудиторской проверки, и др.)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Аудиторские проверки не проводятся.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 Аудиторские проверки проводятся, но процедуры их проведения не соответствуют нормативным правовым актам Российской Федерации по проведению внутреннего финансового аудита.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Аудиторские проверки проводятся в порядке, утвержденном нормативным правовым актам Российской Федерации в сфере внутреннего финансового аудита.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4. Соблюдение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 и годовой отчетности о результатах осуществления внутреннего финансового аудита, проведенных субъектом внутреннего финансового аудита, реализацию замечаний и рекомендаций субъекта внутреннего 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4.1. Соблюдение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 соблюдается.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облюдается частично.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облюдается в полной мере.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4.2. Соблюдение субъектом внутреннего финансового аудита порядка составления и представления годовой отчетности о результатах осуществления внутреннего финансового аудита, проведенных субъектом внутреннего финансового аудита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 соблюдается.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облюдается частично.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облюдается в полной мере.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4.3. Анализ руководством главного администратора бюджетных средств, администратора бюджетных 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>средств результатов деятельности субъекта внутреннего аудита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 xml:space="preserve"> на основании отчетности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 анализируются</w:t>
      </w:r>
      <w:r w:rsidR="00156271">
        <w:rPr>
          <w:rFonts w:ascii="Times New Roman" w:hAnsi="Times New Roman" w:cs="Times New Roman"/>
          <w:sz w:val="28"/>
          <w:szCs w:val="28"/>
        </w:rPr>
        <w:t>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нализируются.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4.4. Степень реализации главным администратором бюджетных средств, администратором бюджетных средств аудиторских выводов, предложений и рекомендаций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 Замечания и рекомендации не реализуются.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____4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еализуются частично.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еализуются полностью и существует отчетность о результатах принятых мер.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5. Взаимодействие субъекта внутреннего финансового аудита с </w:t>
      </w:r>
      <w:r w:rsidR="00156271">
        <w:rPr>
          <w:rFonts w:ascii="Times New Roman" w:hAnsi="Times New Roman" w:cs="Times New Roman"/>
          <w:sz w:val="28"/>
          <w:szCs w:val="28"/>
        </w:rPr>
        <w:t>КСП</w:t>
      </w:r>
      <w:r w:rsidRPr="006511D9">
        <w:rPr>
          <w:rFonts w:ascii="Times New Roman" w:hAnsi="Times New Roman" w:cs="Times New Roman"/>
          <w:sz w:val="28"/>
          <w:szCs w:val="28"/>
        </w:rPr>
        <w:t xml:space="preserve"> и другими органами </w:t>
      </w:r>
      <w:r w:rsidR="001562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11D9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5.1. Осуществляется ли взаимодействие субъекта внутреннего финансового аудита с</w:t>
      </w:r>
      <w:r w:rsidR="00156271">
        <w:rPr>
          <w:rFonts w:ascii="Times New Roman" w:hAnsi="Times New Roman" w:cs="Times New Roman"/>
          <w:sz w:val="28"/>
          <w:szCs w:val="28"/>
        </w:rPr>
        <w:t xml:space="preserve"> КСП</w:t>
      </w:r>
      <w:r w:rsidRPr="006511D9">
        <w:rPr>
          <w:rFonts w:ascii="Times New Roman" w:hAnsi="Times New Roman" w:cs="Times New Roman"/>
          <w:sz w:val="28"/>
          <w:szCs w:val="28"/>
        </w:rPr>
        <w:t xml:space="preserve"> и другими органами государственного финансового контроля?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 осуществляется.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 Субъектом внутреннего финансового аудита предоставляется информация, запрашиваемая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F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7F42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A17F42">
        <w:rPr>
          <w:rFonts w:ascii="Times New Roman" w:hAnsi="Times New Roman" w:cs="Times New Roman"/>
          <w:sz w:val="28"/>
          <w:szCs w:val="28"/>
        </w:rPr>
        <w:t xml:space="preserve"> - с</w:t>
      </w:r>
      <w:r w:rsidRPr="006511D9">
        <w:rPr>
          <w:rFonts w:ascii="Times New Roman" w:hAnsi="Times New Roman" w:cs="Times New Roman"/>
          <w:sz w:val="28"/>
          <w:szCs w:val="28"/>
        </w:rPr>
        <w:t xml:space="preserve">четной палатой и другими органами </w:t>
      </w:r>
      <w:r w:rsidR="00A17F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11D9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 xml:space="preserve">5.2. Анализируется ли субъектом внутреннего финансового аудита информация о результатах устранения нарушений и недостатков, </w:t>
      </w:r>
      <w:r w:rsidRPr="006511D9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в его деятельности в ходе проверок и анализа эффективности внутреннего финансового аудита, проведенных </w:t>
      </w:r>
      <w:r w:rsidR="00A17F42">
        <w:rPr>
          <w:rFonts w:ascii="Times New Roman" w:hAnsi="Times New Roman" w:cs="Times New Roman"/>
          <w:sz w:val="28"/>
          <w:szCs w:val="28"/>
        </w:rPr>
        <w:t>Контрольно-с</w:t>
      </w:r>
      <w:r w:rsidRPr="006511D9">
        <w:rPr>
          <w:rFonts w:ascii="Times New Roman" w:hAnsi="Times New Roman" w:cs="Times New Roman"/>
          <w:sz w:val="28"/>
          <w:szCs w:val="28"/>
        </w:rPr>
        <w:t xml:space="preserve">четной палатой и другими органами </w:t>
      </w:r>
      <w:r w:rsidR="00A17F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11D9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4F1EAD" w:rsidRPr="006511D9" w:rsidRDefault="004F1EAD" w:rsidP="00651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е анализируется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____5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>нализируется при составлении планов проведения аудиторских проверок.</w:t>
      </w:r>
    </w:p>
    <w:p w:rsidR="004F1EAD" w:rsidRPr="006511D9" w:rsidRDefault="004F1EAD" w:rsidP="0065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1D9">
        <w:rPr>
          <w:rFonts w:ascii="Times New Roman" w:hAnsi="Times New Roman" w:cs="Times New Roman"/>
          <w:sz w:val="28"/>
          <w:szCs w:val="28"/>
        </w:rPr>
        <w:t>____7</w:t>
      </w:r>
      <w:proofErr w:type="gramStart"/>
      <w:r w:rsidRPr="006511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511D9">
        <w:rPr>
          <w:rFonts w:ascii="Times New Roman" w:hAnsi="Times New Roman" w:cs="Times New Roman"/>
          <w:sz w:val="28"/>
          <w:szCs w:val="28"/>
        </w:rPr>
        <w:t xml:space="preserve">нализируется при составлении планов проведения аудиторских проверок, принимаются меры по устранению нарушений и недостатков, выявленных по результатам проверок и анализа эффективности внутреннего финансового аудита, проведенных </w:t>
      </w:r>
      <w:r w:rsidR="00A17F42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6511D9">
        <w:rPr>
          <w:rFonts w:ascii="Times New Roman" w:hAnsi="Times New Roman" w:cs="Times New Roman"/>
          <w:sz w:val="28"/>
          <w:szCs w:val="28"/>
        </w:rPr>
        <w:t xml:space="preserve"> и другими органами </w:t>
      </w:r>
      <w:r w:rsidR="00A17F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11D9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</w:pPr>
    </w:p>
    <w:p w:rsidR="00F13FC3" w:rsidRDefault="00F13FC3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Default="00FE5EC1" w:rsidP="004F1EAD">
      <w:pPr>
        <w:pStyle w:val="ConsPlusNormal"/>
        <w:jc w:val="right"/>
        <w:rPr>
          <w:rFonts w:ascii="Times New Roman" w:hAnsi="Times New Roman" w:cs="Times New Roman"/>
        </w:rPr>
      </w:pPr>
    </w:p>
    <w:p w:rsidR="00FE5EC1" w:rsidRPr="00F13FC3" w:rsidRDefault="00FE5EC1" w:rsidP="00FE5EC1">
      <w:pPr>
        <w:pStyle w:val="ConsPlusNormal"/>
        <w:rPr>
          <w:rFonts w:ascii="Times New Roman" w:hAnsi="Times New Roman" w:cs="Times New Roman"/>
        </w:rPr>
      </w:pPr>
    </w:p>
    <w:p w:rsidR="004F1EAD" w:rsidRPr="00F13FC3" w:rsidRDefault="00F13FC3" w:rsidP="004F1E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4F1EAD" w:rsidRPr="00F13FC3">
        <w:rPr>
          <w:rFonts w:ascii="Times New Roman" w:hAnsi="Times New Roman" w:cs="Times New Roman"/>
        </w:rPr>
        <w:t xml:space="preserve"> 1</w:t>
      </w:r>
    </w:p>
    <w:p w:rsidR="004F1EAD" w:rsidRPr="00F13FC3" w:rsidRDefault="00F13FC3" w:rsidP="004F1EAD">
      <w:pPr>
        <w:pStyle w:val="ConsPlusNormal"/>
        <w:jc w:val="right"/>
        <w:rPr>
          <w:rFonts w:ascii="Times New Roman" w:hAnsi="Times New Roman" w:cs="Times New Roman"/>
        </w:rPr>
      </w:pPr>
      <w:r w:rsidRPr="00F13FC3">
        <w:rPr>
          <w:rFonts w:ascii="Times New Roman" w:hAnsi="Times New Roman" w:cs="Times New Roman"/>
        </w:rPr>
        <w:t>к С</w:t>
      </w:r>
      <w:r w:rsidR="004F1EAD" w:rsidRPr="00F13FC3">
        <w:rPr>
          <w:rFonts w:ascii="Times New Roman" w:hAnsi="Times New Roman" w:cs="Times New Roman"/>
        </w:rPr>
        <w:t xml:space="preserve">тандарту </w:t>
      </w:r>
      <w:proofErr w:type="gramStart"/>
      <w:r w:rsidR="004F1EAD" w:rsidRPr="00F13FC3">
        <w:rPr>
          <w:rFonts w:ascii="Times New Roman" w:hAnsi="Times New Roman" w:cs="Times New Roman"/>
        </w:rPr>
        <w:t>внешнего</w:t>
      </w:r>
      <w:proofErr w:type="gramEnd"/>
    </w:p>
    <w:p w:rsidR="004F1EAD" w:rsidRPr="00F13FC3" w:rsidRDefault="00F13FC3" w:rsidP="004F1EAD">
      <w:pPr>
        <w:pStyle w:val="ConsPlusNormal"/>
        <w:jc w:val="right"/>
        <w:rPr>
          <w:rFonts w:ascii="Times New Roman" w:hAnsi="Times New Roman" w:cs="Times New Roman"/>
        </w:rPr>
      </w:pPr>
      <w:r w:rsidRPr="00F13FC3">
        <w:rPr>
          <w:rFonts w:ascii="Times New Roman" w:hAnsi="Times New Roman" w:cs="Times New Roman"/>
        </w:rPr>
        <w:t>муниципального</w:t>
      </w:r>
      <w:r w:rsidR="004F1EAD" w:rsidRPr="00F13FC3">
        <w:rPr>
          <w:rFonts w:ascii="Times New Roman" w:hAnsi="Times New Roman" w:cs="Times New Roman"/>
        </w:rPr>
        <w:t xml:space="preserve"> аудита (контроля)</w:t>
      </w:r>
    </w:p>
    <w:p w:rsidR="004F1EAD" w:rsidRPr="00F13FC3" w:rsidRDefault="00F13FC3" w:rsidP="004F1EAD">
      <w:pPr>
        <w:pStyle w:val="ConsPlusNormal"/>
        <w:jc w:val="right"/>
        <w:rPr>
          <w:rFonts w:ascii="Times New Roman" w:hAnsi="Times New Roman" w:cs="Times New Roman"/>
        </w:rPr>
      </w:pPr>
      <w:r w:rsidRPr="00F13FC3">
        <w:rPr>
          <w:rFonts w:ascii="Times New Roman" w:hAnsi="Times New Roman" w:cs="Times New Roman"/>
        </w:rPr>
        <w:t>СМ</w:t>
      </w:r>
      <w:r w:rsidR="004F1EAD" w:rsidRPr="00F13FC3">
        <w:rPr>
          <w:rFonts w:ascii="Times New Roman" w:hAnsi="Times New Roman" w:cs="Times New Roman"/>
        </w:rPr>
        <w:t xml:space="preserve">А </w:t>
      </w:r>
      <w:r w:rsidRPr="00F13FC3">
        <w:rPr>
          <w:rFonts w:ascii="Times New Roman" w:hAnsi="Times New Roman" w:cs="Times New Roman"/>
        </w:rPr>
        <w:t>1 «</w:t>
      </w:r>
      <w:r w:rsidR="004F1EAD" w:rsidRPr="00F13FC3">
        <w:rPr>
          <w:rFonts w:ascii="Times New Roman" w:hAnsi="Times New Roman" w:cs="Times New Roman"/>
        </w:rPr>
        <w:t>Проверка и анализ</w:t>
      </w:r>
    </w:p>
    <w:p w:rsidR="004F1EAD" w:rsidRPr="00F13FC3" w:rsidRDefault="004F1EAD" w:rsidP="004F1EAD">
      <w:pPr>
        <w:pStyle w:val="ConsPlusNormal"/>
        <w:jc w:val="right"/>
        <w:rPr>
          <w:rFonts w:ascii="Times New Roman" w:hAnsi="Times New Roman" w:cs="Times New Roman"/>
        </w:rPr>
      </w:pPr>
      <w:r w:rsidRPr="00F13FC3">
        <w:rPr>
          <w:rFonts w:ascii="Times New Roman" w:hAnsi="Times New Roman" w:cs="Times New Roman"/>
        </w:rPr>
        <w:t xml:space="preserve">эффективности </w:t>
      </w:r>
      <w:proofErr w:type="gramStart"/>
      <w:r w:rsidRPr="00F13FC3">
        <w:rPr>
          <w:rFonts w:ascii="Times New Roman" w:hAnsi="Times New Roman" w:cs="Times New Roman"/>
        </w:rPr>
        <w:t>внутреннего</w:t>
      </w:r>
      <w:proofErr w:type="gramEnd"/>
    </w:p>
    <w:p w:rsidR="004F1EAD" w:rsidRPr="00F13FC3" w:rsidRDefault="004F1EAD" w:rsidP="004F1EAD">
      <w:pPr>
        <w:pStyle w:val="ConsPlusNormal"/>
        <w:jc w:val="right"/>
        <w:rPr>
          <w:rFonts w:ascii="Times New Roman" w:hAnsi="Times New Roman" w:cs="Times New Roman"/>
        </w:rPr>
      </w:pPr>
      <w:r w:rsidRPr="00F13FC3">
        <w:rPr>
          <w:rFonts w:ascii="Times New Roman" w:hAnsi="Times New Roman" w:cs="Times New Roman"/>
        </w:rPr>
        <w:t>финансового аудита</w:t>
      </w:r>
      <w:r w:rsidR="00F13FC3" w:rsidRPr="00F13FC3">
        <w:rPr>
          <w:rFonts w:ascii="Times New Roman" w:hAnsi="Times New Roman" w:cs="Times New Roman"/>
        </w:rPr>
        <w:t>»</w:t>
      </w:r>
    </w:p>
    <w:p w:rsidR="004F1EAD" w:rsidRPr="00F13FC3" w:rsidRDefault="004F1EAD" w:rsidP="004F1EAD">
      <w:pPr>
        <w:pStyle w:val="ConsPlusNormal"/>
        <w:jc w:val="both"/>
        <w:rPr>
          <w:rFonts w:ascii="Times New Roman" w:hAnsi="Times New Roman" w:cs="Times New Roman"/>
        </w:rPr>
      </w:pPr>
    </w:p>
    <w:p w:rsidR="004F1EAD" w:rsidRPr="00F13FC3" w:rsidRDefault="004F1EAD" w:rsidP="004F1E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Численность и кадровый состав</w:t>
      </w:r>
    </w:p>
    <w:p w:rsidR="004F1EAD" w:rsidRPr="00F13FC3" w:rsidRDefault="004F1EAD" w:rsidP="004F1E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субъекта внутреннего финансового аудита</w:t>
      </w:r>
    </w:p>
    <w:p w:rsidR="004F1EAD" w:rsidRDefault="004F1EAD" w:rsidP="004F1EAD">
      <w:pPr>
        <w:pStyle w:val="ConsPlusNormal"/>
        <w:jc w:val="center"/>
      </w:pPr>
      <w:r>
        <w:t>___________________________________________________________</w:t>
      </w:r>
    </w:p>
    <w:p w:rsidR="004F1EAD" w:rsidRPr="00F13FC3" w:rsidRDefault="004F1EAD" w:rsidP="004F1EA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13FC3">
        <w:rPr>
          <w:rFonts w:ascii="Times New Roman" w:hAnsi="Times New Roman" w:cs="Times New Roman"/>
        </w:rPr>
        <w:t>(наименование главного администратора бюджетных средств,</w:t>
      </w:r>
      <w:proofErr w:type="gramEnd"/>
    </w:p>
    <w:p w:rsidR="004F1EAD" w:rsidRPr="00F13FC3" w:rsidRDefault="004F1EAD" w:rsidP="004F1EAD">
      <w:pPr>
        <w:pStyle w:val="ConsPlusNormal"/>
        <w:jc w:val="center"/>
        <w:rPr>
          <w:rFonts w:ascii="Times New Roman" w:hAnsi="Times New Roman" w:cs="Times New Roman"/>
        </w:rPr>
      </w:pPr>
      <w:r w:rsidRPr="00F13FC3">
        <w:rPr>
          <w:rFonts w:ascii="Times New Roman" w:hAnsi="Times New Roman" w:cs="Times New Roman"/>
        </w:rPr>
        <w:t>администратора бюджетных средств)</w:t>
      </w:r>
    </w:p>
    <w:p w:rsidR="004F1EAD" w:rsidRPr="00871B62" w:rsidRDefault="004F1EAD" w:rsidP="004F1EAD">
      <w:pPr>
        <w:pStyle w:val="ConsPlusNormal"/>
        <w:jc w:val="both"/>
        <w:rPr>
          <w:rFonts w:ascii="Times New Roman" w:hAnsi="Times New Roman" w:cs="Times New Roman"/>
        </w:rPr>
      </w:pPr>
    </w:p>
    <w:p w:rsidR="00FE5EC1" w:rsidRPr="00871B62" w:rsidRDefault="004F1EAD" w:rsidP="00FE5EC1">
      <w:pPr>
        <w:pStyle w:val="ConsPlusNormal"/>
        <w:jc w:val="right"/>
        <w:sectPr w:rsidR="00FE5EC1" w:rsidRPr="00871B62" w:rsidSect="008F0788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71B62">
        <w:rPr>
          <w:rFonts w:ascii="Times New Roman" w:hAnsi="Times New Roman" w:cs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87"/>
        <w:gridCol w:w="680"/>
        <w:gridCol w:w="850"/>
        <w:gridCol w:w="1587"/>
        <w:gridCol w:w="680"/>
        <w:gridCol w:w="850"/>
        <w:gridCol w:w="1587"/>
        <w:gridCol w:w="680"/>
        <w:gridCol w:w="1304"/>
        <w:gridCol w:w="1871"/>
        <w:gridCol w:w="2551"/>
      </w:tblGrid>
      <w:tr w:rsidR="004F1EAD" w:rsidRPr="00F13FC3" w:rsidTr="002A5506">
        <w:tc>
          <w:tcPr>
            <w:tcW w:w="10655" w:type="dxa"/>
            <w:gridSpan w:val="10"/>
          </w:tcPr>
          <w:p w:rsidR="004F1EAD" w:rsidRPr="00F13FC3" w:rsidRDefault="004F1EAD" w:rsidP="00A17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lastRenderedPageBreak/>
              <w:t xml:space="preserve">Наличие субъекта внутреннего финансового аудита в </w:t>
            </w:r>
            <w:r w:rsidR="00A17F42">
              <w:rPr>
                <w:rFonts w:ascii="Times New Roman" w:hAnsi="Times New Roman" w:cs="Times New Roman"/>
                <w:sz w:val="20"/>
              </w:rPr>
              <w:t>штате</w:t>
            </w:r>
            <w:r w:rsidRPr="00F13FC3">
              <w:rPr>
                <w:rFonts w:ascii="Times New Roman" w:hAnsi="Times New Roman" w:cs="Times New Roman"/>
                <w:sz w:val="20"/>
              </w:rPr>
              <w:t xml:space="preserve"> главного администратора бюджетных средств, администратора бюджетных средств</w:t>
            </w:r>
          </w:p>
        </w:tc>
        <w:tc>
          <w:tcPr>
            <w:tcW w:w="4422" w:type="dxa"/>
            <w:gridSpan w:val="2"/>
            <w:vMerge w:val="restart"/>
          </w:tcPr>
          <w:p w:rsidR="004F1EAD" w:rsidRPr="00F13FC3" w:rsidRDefault="004F1EAD" w:rsidP="00A13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Кадровый состав субъекта внутреннего финансового аудита главного администратора бюджетных средств, администратора бюджетных средств</w:t>
            </w:r>
          </w:p>
        </w:tc>
      </w:tr>
      <w:tr w:rsidR="004F1EAD" w:rsidRPr="00F13FC3" w:rsidTr="002A5506">
        <w:tc>
          <w:tcPr>
            <w:tcW w:w="3117" w:type="dxa"/>
            <w:gridSpan w:val="3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субъект внутреннего финансового аудита является самостоятельным структурным подразделением</w:t>
            </w:r>
          </w:p>
        </w:tc>
        <w:tc>
          <w:tcPr>
            <w:tcW w:w="3117" w:type="dxa"/>
            <w:gridSpan w:val="3"/>
          </w:tcPr>
          <w:p w:rsidR="004F1EAD" w:rsidRPr="00F13FC3" w:rsidRDefault="004F1EAD" w:rsidP="00585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 xml:space="preserve">субъект внутреннего финансового аудита </w:t>
            </w:r>
            <w:r w:rsidR="00585306">
              <w:rPr>
                <w:rFonts w:ascii="Times New Roman" w:hAnsi="Times New Roman" w:cs="Times New Roman"/>
                <w:sz w:val="20"/>
              </w:rPr>
              <w:t>без образования структурного подразделения</w:t>
            </w:r>
          </w:p>
        </w:tc>
        <w:tc>
          <w:tcPr>
            <w:tcW w:w="3117" w:type="dxa"/>
            <w:gridSpan w:val="3"/>
            <w:vMerge w:val="restart"/>
          </w:tcPr>
          <w:p w:rsidR="00585306" w:rsidRPr="008216AD" w:rsidRDefault="004F1EAD" w:rsidP="00585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3FC3">
              <w:rPr>
                <w:sz w:val="20"/>
              </w:rPr>
              <w:t xml:space="preserve">внутренний финансовый аудит </w:t>
            </w:r>
            <w:r w:rsidRPr="008216AD">
              <w:rPr>
                <w:color w:val="000000" w:themeColor="text1"/>
                <w:sz w:val="20"/>
              </w:rPr>
              <w:t xml:space="preserve">осуществляется </w:t>
            </w:r>
            <w:r w:rsidR="00585306" w:rsidRPr="008216A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лицам</w:t>
            </w:r>
            <w:r w:rsidR="00585306" w:rsidRPr="008216A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</w:t>
            </w:r>
            <w:r w:rsidR="00585306" w:rsidRPr="008216A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указанным</w:t>
            </w:r>
            <w:r w:rsidR="00585306" w:rsidRPr="008216A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</w:t>
            </w:r>
            <w:r w:rsidR="00585306" w:rsidRPr="008216A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hyperlink r:id="rId13" w:history="1">
              <w:r w:rsidR="00585306" w:rsidRPr="008216AD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пункте 16</w:t>
              </w:r>
            </w:hyperlink>
            <w:r w:rsidR="00585306" w:rsidRPr="008216A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Стандарта</w:t>
            </w:r>
            <w:r w:rsidR="00585306" w:rsidRPr="008216A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№ 237н</w:t>
            </w:r>
          </w:p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фонд оплаты труда сотрудников субъекта внутреннего финансового аудита (тыс. рублей)</w:t>
            </w:r>
          </w:p>
        </w:tc>
        <w:tc>
          <w:tcPr>
            <w:tcW w:w="4422" w:type="dxa"/>
            <w:gridSpan w:val="2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</w:tr>
      <w:tr w:rsidR="004F1EAD" w:rsidRPr="00F13FC3" w:rsidTr="002A5506">
        <w:tc>
          <w:tcPr>
            <w:tcW w:w="3117" w:type="dxa"/>
            <w:gridSpan w:val="3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 xml:space="preserve">численность субъекта внутреннего финансового аудита по состоянию на 1 января года, следующего за </w:t>
            </w: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(количество должностных лиц)</w:t>
            </w:r>
          </w:p>
        </w:tc>
        <w:tc>
          <w:tcPr>
            <w:tcW w:w="3117" w:type="dxa"/>
            <w:gridSpan w:val="3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 xml:space="preserve">численность субъекта внутреннего финансового аудита по состоянию на 1 января года, следующего за </w:t>
            </w: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(количество должностных лиц)</w:t>
            </w:r>
          </w:p>
        </w:tc>
        <w:tc>
          <w:tcPr>
            <w:tcW w:w="3117" w:type="dxa"/>
            <w:gridSpan w:val="3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</w:tr>
      <w:tr w:rsidR="004F1EAD" w:rsidRPr="00F13FC3" w:rsidTr="002A5506">
        <w:tc>
          <w:tcPr>
            <w:tcW w:w="2437" w:type="dxa"/>
            <w:gridSpan w:val="2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штатная</w:t>
            </w:r>
          </w:p>
        </w:tc>
        <w:tc>
          <w:tcPr>
            <w:tcW w:w="680" w:type="dxa"/>
            <w:vMerge w:val="restart"/>
          </w:tcPr>
          <w:p w:rsidR="004F1EAD" w:rsidRPr="008216AD" w:rsidRDefault="00FE5EC1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4F1EAD" w:rsidRPr="008216AD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F1EAD" w:rsidRPr="008216AD"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proofErr w:type="gramEnd"/>
          </w:p>
        </w:tc>
        <w:tc>
          <w:tcPr>
            <w:tcW w:w="2437" w:type="dxa"/>
            <w:gridSpan w:val="2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штатная</w:t>
            </w:r>
          </w:p>
        </w:tc>
        <w:tc>
          <w:tcPr>
            <w:tcW w:w="680" w:type="dxa"/>
            <w:vMerge w:val="restart"/>
          </w:tcPr>
          <w:p w:rsidR="004F1EAD" w:rsidRPr="008216AD" w:rsidRDefault="00FE5EC1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4F1EAD" w:rsidRPr="008216AD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F1EAD" w:rsidRPr="008216AD"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proofErr w:type="gramEnd"/>
          </w:p>
        </w:tc>
        <w:tc>
          <w:tcPr>
            <w:tcW w:w="2437" w:type="dxa"/>
            <w:gridSpan w:val="2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штатная</w:t>
            </w:r>
          </w:p>
        </w:tc>
        <w:tc>
          <w:tcPr>
            <w:tcW w:w="680" w:type="dxa"/>
            <w:vMerge w:val="restart"/>
          </w:tcPr>
          <w:p w:rsidR="004F1EAD" w:rsidRPr="008216AD" w:rsidRDefault="00FE5EC1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4F1EAD" w:rsidRPr="008216AD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F1EAD" w:rsidRPr="008216AD"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proofErr w:type="gramEnd"/>
          </w:p>
        </w:tc>
        <w:tc>
          <w:tcPr>
            <w:tcW w:w="1304" w:type="dxa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gridSpan w:val="2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численность сотрудников субъекта внутреннего финансового аудита, в том числе:</w:t>
            </w:r>
          </w:p>
        </w:tc>
      </w:tr>
      <w:tr w:rsidR="004F1EAD" w:rsidRPr="00F13FC3" w:rsidTr="002A5506">
        <w:tc>
          <w:tcPr>
            <w:tcW w:w="850" w:type="dxa"/>
          </w:tcPr>
          <w:p w:rsidR="004F1EAD" w:rsidRPr="008216AD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AD">
              <w:rPr>
                <w:rFonts w:ascii="Times New Roman" w:hAnsi="Times New Roman" w:cs="Times New Roman"/>
                <w:sz w:val="18"/>
                <w:szCs w:val="18"/>
              </w:rPr>
              <w:t>в абсолютном значении</w:t>
            </w:r>
          </w:p>
        </w:tc>
        <w:tc>
          <w:tcPr>
            <w:tcW w:w="1587" w:type="dxa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% </w:t>
            </w: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предельной штатной численности сотрудников центрального аппарата</w:t>
            </w:r>
          </w:p>
        </w:tc>
        <w:tc>
          <w:tcPr>
            <w:tcW w:w="680" w:type="dxa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1EAD" w:rsidRPr="008216AD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AD">
              <w:rPr>
                <w:rFonts w:ascii="Times New Roman" w:hAnsi="Times New Roman" w:cs="Times New Roman"/>
                <w:sz w:val="18"/>
                <w:szCs w:val="18"/>
              </w:rPr>
              <w:t>в абсолютном значении</w:t>
            </w:r>
          </w:p>
        </w:tc>
        <w:tc>
          <w:tcPr>
            <w:tcW w:w="1587" w:type="dxa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% </w:t>
            </w: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предельной штатной численности сотрудников центрального аппарата</w:t>
            </w:r>
          </w:p>
        </w:tc>
        <w:tc>
          <w:tcPr>
            <w:tcW w:w="680" w:type="dxa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1EAD" w:rsidRPr="008216AD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AD">
              <w:rPr>
                <w:rFonts w:ascii="Times New Roman" w:hAnsi="Times New Roman" w:cs="Times New Roman"/>
                <w:sz w:val="18"/>
                <w:szCs w:val="18"/>
              </w:rPr>
              <w:t>в абсолютном значении</w:t>
            </w:r>
          </w:p>
        </w:tc>
        <w:tc>
          <w:tcPr>
            <w:tcW w:w="1587" w:type="dxa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% </w:t>
            </w: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предельной штатной численности сотрудников центрального аппарата</w:t>
            </w:r>
          </w:p>
        </w:tc>
        <w:tc>
          <w:tcPr>
            <w:tcW w:w="680" w:type="dxa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F1EAD" w:rsidRPr="00F13FC3" w:rsidRDefault="004F1EAD" w:rsidP="002A550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13FC3">
              <w:rPr>
                <w:rFonts w:ascii="Times New Roman" w:hAnsi="Times New Roman" w:cs="Times New Roman"/>
                <w:sz w:val="20"/>
              </w:rPr>
              <w:t>обладающих</w:t>
            </w:r>
            <w:proofErr w:type="gramEnd"/>
            <w:r w:rsidRPr="00F13FC3">
              <w:rPr>
                <w:rFonts w:ascii="Times New Roman" w:hAnsi="Times New Roman" w:cs="Times New Roman"/>
                <w:sz w:val="20"/>
              </w:rPr>
              <w:t xml:space="preserve"> дипломами высшего профессионального образования по экономическим направлениям подготовки (специальностям)</w:t>
            </w:r>
          </w:p>
        </w:tc>
        <w:tc>
          <w:tcPr>
            <w:tcW w:w="2551" w:type="dxa"/>
          </w:tcPr>
          <w:p w:rsidR="004F1EAD" w:rsidRPr="00F13FC3" w:rsidRDefault="004F1EAD" w:rsidP="002A5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обладающих дипломами высшего профессионального образования по экономическим направлениям подготовки (специальностям), дипломами кандидата, доктора экономических наук, юридических наук</w:t>
            </w:r>
          </w:p>
        </w:tc>
      </w:tr>
      <w:tr w:rsidR="004F1EAD" w:rsidTr="002A5506">
        <w:tc>
          <w:tcPr>
            <w:tcW w:w="850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4F1EAD" w:rsidRDefault="004F1EAD" w:rsidP="002A5506">
            <w:pPr>
              <w:pStyle w:val="ConsPlusNormal"/>
              <w:jc w:val="center"/>
            </w:pPr>
            <w:r>
              <w:t>12</w:t>
            </w:r>
          </w:p>
        </w:tc>
      </w:tr>
      <w:tr w:rsidR="004F1EAD" w:rsidTr="002A5506">
        <w:tc>
          <w:tcPr>
            <w:tcW w:w="850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1587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680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850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1587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680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850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1587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680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1304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1871" w:type="dxa"/>
          </w:tcPr>
          <w:p w:rsidR="004F1EAD" w:rsidRDefault="004F1EAD" w:rsidP="002A5506">
            <w:pPr>
              <w:pStyle w:val="ConsPlusNormal"/>
            </w:pPr>
          </w:p>
        </w:tc>
        <w:tc>
          <w:tcPr>
            <w:tcW w:w="2551" w:type="dxa"/>
          </w:tcPr>
          <w:p w:rsidR="004F1EAD" w:rsidRDefault="004F1EAD" w:rsidP="002A5506">
            <w:pPr>
              <w:pStyle w:val="ConsPlusNormal"/>
            </w:pPr>
          </w:p>
        </w:tc>
      </w:tr>
    </w:tbl>
    <w:p w:rsidR="004F1EAD" w:rsidRDefault="004F1EAD" w:rsidP="004F1EAD">
      <w:pPr>
        <w:pStyle w:val="ConsPlusNormal"/>
        <w:jc w:val="both"/>
      </w:pPr>
    </w:p>
    <w:p w:rsidR="004F1EAD" w:rsidRDefault="004F1EAD" w:rsidP="004F1EAD">
      <w:pPr>
        <w:pStyle w:val="ConsPlusNormal"/>
        <w:jc w:val="both"/>
      </w:pPr>
    </w:p>
    <w:p w:rsidR="004F1EAD" w:rsidRDefault="004F1EAD" w:rsidP="004F1EAD">
      <w:pPr>
        <w:pStyle w:val="ConsPlusNormal"/>
        <w:jc w:val="both"/>
      </w:pPr>
    </w:p>
    <w:p w:rsidR="00F13FC3" w:rsidRDefault="00F13FC3" w:rsidP="004F1EAD">
      <w:pPr>
        <w:pStyle w:val="ConsPlusNormal"/>
        <w:jc w:val="both"/>
      </w:pPr>
    </w:p>
    <w:p w:rsidR="00F13FC3" w:rsidRDefault="00F13FC3" w:rsidP="004F1EAD">
      <w:pPr>
        <w:pStyle w:val="ConsPlusNormal"/>
        <w:jc w:val="both"/>
      </w:pPr>
    </w:p>
    <w:p w:rsidR="00F13FC3" w:rsidRDefault="00F13FC3" w:rsidP="004F1EAD">
      <w:pPr>
        <w:pStyle w:val="ConsPlusNormal"/>
        <w:jc w:val="both"/>
      </w:pPr>
    </w:p>
    <w:p w:rsidR="00F13FC3" w:rsidRDefault="00F13FC3" w:rsidP="004F1EAD">
      <w:pPr>
        <w:pStyle w:val="ConsPlusNormal"/>
        <w:jc w:val="both"/>
      </w:pPr>
    </w:p>
    <w:p w:rsidR="004F1EAD" w:rsidRDefault="004F1EAD" w:rsidP="004F1EAD">
      <w:pPr>
        <w:pStyle w:val="ConsPlusNormal"/>
        <w:jc w:val="both"/>
      </w:pPr>
    </w:p>
    <w:p w:rsidR="004F1EAD" w:rsidRPr="00F13FC3" w:rsidRDefault="004F1EAD" w:rsidP="00F13F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354"/>
      <w:bookmarkEnd w:id="3"/>
      <w:r w:rsidRPr="00F13FC3">
        <w:rPr>
          <w:rFonts w:ascii="Times New Roman" w:hAnsi="Times New Roman" w:cs="Times New Roman"/>
          <w:sz w:val="28"/>
          <w:szCs w:val="28"/>
        </w:rPr>
        <w:lastRenderedPageBreak/>
        <w:t>Интегральная оценка</w:t>
      </w:r>
    </w:p>
    <w:p w:rsidR="004F1EAD" w:rsidRPr="00F13FC3" w:rsidRDefault="004F1EAD" w:rsidP="00F13FC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13FC3">
        <w:rPr>
          <w:rFonts w:ascii="Times New Roman" w:hAnsi="Times New Roman" w:cs="Times New Roman"/>
          <w:sz w:val="28"/>
          <w:szCs w:val="28"/>
        </w:rPr>
        <w:t>организации внутреннего финансового аудита</w:t>
      </w:r>
    </w:p>
    <w:p w:rsidR="004F1EAD" w:rsidRDefault="004F1EAD" w:rsidP="00F13FC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3FC3">
        <w:rPr>
          <w:rFonts w:ascii="Times New Roman" w:hAnsi="Times New Roman" w:cs="Times New Roman"/>
          <w:szCs w:val="22"/>
        </w:rPr>
        <w:t>Таблица 2</w:t>
      </w:r>
    </w:p>
    <w:p w:rsidR="00871B62" w:rsidRPr="00F13FC3" w:rsidRDefault="00871B62" w:rsidP="00F13FC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6"/>
        <w:gridCol w:w="346"/>
        <w:gridCol w:w="300"/>
        <w:gridCol w:w="425"/>
        <w:gridCol w:w="425"/>
        <w:gridCol w:w="426"/>
        <w:gridCol w:w="425"/>
        <w:gridCol w:w="850"/>
        <w:gridCol w:w="680"/>
        <w:gridCol w:w="908"/>
        <w:gridCol w:w="857"/>
        <w:gridCol w:w="1099"/>
        <w:gridCol w:w="992"/>
        <w:gridCol w:w="1036"/>
        <w:gridCol w:w="993"/>
        <w:gridCol w:w="792"/>
        <w:gridCol w:w="1760"/>
        <w:gridCol w:w="1517"/>
      </w:tblGrid>
      <w:tr w:rsidR="00F13FC3" w:rsidRPr="00F13FC3" w:rsidTr="00F13FC3">
        <w:tc>
          <w:tcPr>
            <w:tcW w:w="13148" w:type="dxa"/>
            <w:gridSpan w:val="18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Вопросы для оценки организации внутреннего финансового аудита</w:t>
            </w:r>
          </w:p>
        </w:tc>
        <w:tc>
          <w:tcPr>
            <w:tcW w:w="1517" w:type="dxa"/>
            <w:vMerge w:val="restart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" w:name="P360"/>
            <w:bookmarkEnd w:id="4"/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Средняя оценка</w:t>
            </w:r>
          </w:p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hyperlink w:anchor="P367" w:history="1">
              <w:r w:rsidRPr="00F13FC3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графы 1</w:t>
              </w:r>
            </w:hyperlink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+ </w:t>
            </w:r>
            <w:hyperlink w:anchor="P368" w:history="1">
              <w:r w:rsidRPr="00F13FC3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2</w:t>
              </w:r>
            </w:hyperlink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+ ... </w:t>
            </w:r>
            <w:hyperlink w:anchor="P384" w:history="1">
              <w:r w:rsidRPr="00F13FC3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18</w:t>
              </w:r>
            </w:hyperlink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) / количество заполненных граф)</w:t>
            </w:r>
          </w:p>
        </w:tc>
      </w:tr>
      <w:tr w:rsidR="00F13FC3" w:rsidRPr="00F13FC3" w:rsidTr="00F13FC3">
        <w:tc>
          <w:tcPr>
            <w:tcW w:w="1480" w:type="dxa"/>
            <w:gridSpan w:val="4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и структура внутреннего финансового аудита</w:t>
            </w:r>
          </w:p>
        </w:tc>
        <w:tc>
          <w:tcPr>
            <w:tcW w:w="1701" w:type="dxa"/>
            <w:gridSpan w:val="4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планирование внутреннего финансового аудита</w:t>
            </w:r>
          </w:p>
        </w:tc>
        <w:tc>
          <w:tcPr>
            <w:tcW w:w="3295" w:type="dxa"/>
            <w:gridSpan w:val="4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осуществления внутреннего финансового аудита, включая степень охвата аудиторскими проверками объектов внутреннего финансового аудита, подведомственных главному администратору бюджетных средств, администратору бюджетных средств</w:t>
            </w:r>
          </w:p>
        </w:tc>
        <w:tc>
          <w:tcPr>
            <w:tcW w:w="4120" w:type="dxa"/>
            <w:gridSpan w:val="4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Соблюдение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 и годовой отчетности о результатах осуществления внутреннего финансового аудита, проведенных субъектом внутреннего финансового аудита, реализацию замечаний и рекомендаций субъекта</w:t>
            </w:r>
            <w:r w:rsidR="008216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внутреннего финансового аудита</w:t>
            </w:r>
          </w:p>
        </w:tc>
        <w:tc>
          <w:tcPr>
            <w:tcW w:w="2552" w:type="dxa"/>
            <w:gridSpan w:val="2"/>
          </w:tcPr>
          <w:p w:rsidR="004F1EAD" w:rsidRPr="00F13FC3" w:rsidRDefault="004F1EAD" w:rsidP="00156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>Взаимодействие субъекта внутреннего финансового аудита с</w:t>
            </w:r>
            <w:r w:rsidR="0015627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КСП</w:t>
            </w: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другими органами </w:t>
            </w:r>
            <w:r w:rsidR="00156271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муниципального</w:t>
            </w:r>
            <w:r w:rsidRPr="00F13FC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финансового контроля</w:t>
            </w:r>
          </w:p>
        </w:tc>
        <w:tc>
          <w:tcPr>
            <w:tcW w:w="1517" w:type="dxa"/>
            <w:vMerge/>
          </w:tcPr>
          <w:p w:rsidR="004F1EAD" w:rsidRPr="00F13FC3" w:rsidRDefault="004F1EAD" w:rsidP="00F13F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F1EAD" w:rsidRPr="00F13FC3" w:rsidTr="00F13FC3">
        <w:tc>
          <w:tcPr>
            <w:tcW w:w="488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367"/>
            <w:bookmarkEnd w:id="5"/>
            <w:r w:rsidRPr="00F13F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6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368"/>
            <w:bookmarkEnd w:id="6"/>
            <w:r w:rsidRPr="00F13F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6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0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0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8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7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99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36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2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60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384"/>
            <w:bookmarkEnd w:id="7"/>
            <w:r w:rsidRPr="00F13FC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17" w:type="dxa"/>
            <w:vMerge/>
          </w:tcPr>
          <w:p w:rsidR="004F1EAD" w:rsidRPr="00F13FC3" w:rsidRDefault="004F1EAD" w:rsidP="00F13FC3">
            <w:pPr>
              <w:rPr>
                <w:sz w:val="28"/>
                <w:szCs w:val="28"/>
              </w:rPr>
            </w:pPr>
          </w:p>
        </w:tc>
      </w:tr>
      <w:tr w:rsidR="004F1EAD" w:rsidRPr="00F13FC3" w:rsidTr="00F13FC3">
        <w:tc>
          <w:tcPr>
            <w:tcW w:w="488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6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6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00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25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425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426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425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850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80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908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857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1099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992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036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993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792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1760" w:type="dxa"/>
            <w:vMerge w:val="restart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1517" w:type="dxa"/>
            <w:vMerge/>
          </w:tcPr>
          <w:p w:rsidR="004F1EAD" w:rsidRPr="00F13FC3" w:rsidRDefault="004F1EAD" w:rsidP="00F13FC3">
            <w:pPr>
              <w:rPr>
                <w:sz w:val="28"/>
                <w:szCs w:val="28"/>
              </w:rPr>
            </w:pPr>
          </w:p>
        </w:tc>
      </w:tr>
      <w:tr w:rsidR="004F1EAD" w:rsidRPr="00F13FC3" w:rsidTr="00F13FC3">
        <w:tc>
          <w:tcPr>
            <w:tcW w:w="488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FC3">
              <w:rPr>
                <w:rFonts w:ascii="Times New Roman" w:hAnsi="Times New Roman" w:cs="Times New Roman"/>
                <w:sz w:val="18"/>
                <w:szCs w:val="18"/>
              </w:rPr>
              <w:t>по указанным вопросам графы не заполняются в случае отсутствия подведомственных распорядителей (получателей) бюджетных средств</w:t>
            </w:r>
          </w:p>
        </w:tc>
        <w:tc>
          <w:tcPr>
            <w:tcW w:w="857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4F1EAD" w:rsidRPr="00F13FC3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4F1EAD" w:rsidRPr="00F13FC3" w:rsidRDefault="004F1EAD" w:rsidP="00F13FC3">
            <w:pPr>
              <w:rPr>
                <w:sz w:val="28"/>
                <w:szCs w:val="28"/>
              </w:rPr>
            </w:pPr>
          </w:p>
        </w:tc>
      </w:tr>
      <w:tr w:rsidR="004F1EAD" w:rsidRPr="00F13FC3" w:rsidTr="00F13FC3">
        <w:tc>
          <w:tcPr>
            <w:tcW w:w="13148" w:type="dxa"/>
            <w:gridSpan w:val="18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3FC3">
              <w:rPr>
                <w:rFonts w:ascii="Times New Roman" w:hAnsi="Times New Roman" w:cs="Times New Roman"/>
                <w:sz w:val="20"/>
              </w:rPr>
              <w:t>Проставляются оценки выбранных вариантов ответов</w:t>
            </w:r>
          </w:p>
        </w:tc>
        <w:tc>
          <w:tcPr>
            <w:tcW w:w="151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AD" w:rsidRPr="00F13FC3" w:rsidTr="00F13FC3">
        <w:tc>
          <w:tcPr>
            <w:tcW w:w="48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B62" w:rsidRDefault="00871B62" w:rsidP="00871B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1B62" w:rsidRDefault="00871B62" w:rsidP="00871B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1B62" w:rsidRDefault="00871B62" w:rsidP="00871B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1B62" w:rsidRDefault="00871B62" w:rsidP="00871B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367A" w:rsidRDefault="00A1367A" w:rsidP="00871B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1B62" w:rsidRDefault="00F13FC3" w:rsidP="00871B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3FC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1B62">
        <w:rPr>
          <w:rFonts w:ascii="Times New Roman" w:hAnsi="Times New Roman" w:cs="Times New Roman"/>
          <w:sz w:val="24"/>
          <w:szCs w:val="24"/>
        </w:rPr>
        <w:t>риложение № 2 к С</w:t>
      </w:r>
      <w:r w:rsidR="004F1EAD" w:rsidRPr="00F13FC3">
        <w:rPr>
          <w:rFonts w:ascii="Times New Roman" w:hAnsi="Times New Roman" w:cs="Times New Roman"/>
          <w:sz w:val="24"/>
          <w:szCs w:val="24"/>
        </w:rPr>
        <w:t>т</w:t>
      </w:r>
      <w:r w:rsidR="00871B62">
        <w:rPr>
          <w:rFonts w:ascii="Times New Roman" w:hAnsi="Times New Roman" w:cs="Times New Roman"/>
          <w:sz w:val="24"/>
          <w:szCs w:val="24"/>
        </w:rPr>
        <w:t>андарту СМ</w:t>
      </w:r>
      <w:r w:rsidR="004F1EAD" w:rsidRPr="00F13FC3">
        <w:rPr>
          <w:rFonts w:ascii="Times New Roman" w:hAnsi="Times New Roman" w:cs="Times New Roman"/>
          <w:sz w:val="24"/>
          <w:szCs w:val="24"/>
        </w:rPr>
        <w:t xml:space="preserve">А </w:t>
      </w:r>
      <w:r w:rsidR="00871B6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F1EAD" w:rsidRPr="00F13FC3" w:rsidRDefault="00871B62" w:rsidP="00871B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внешнего муниципального</w:t>
      </w:r>
      <w:r w:rsidR="004F1EAD" w:rsidRPr="00F13FC3">
        <w:rPr>
          <w:rFonts w:ascii="Times New Roman" w:hAnsi="Times New Roman" w:cs="Times New Roman"/>
          <w:sz w:val="24"/>
          <w:szCs w:val="24"/>
        </w:rPr>
        <w:t xml:space="preserve"> аудита (контроля)</w:t>
      </w:r>
    </w:p>
    <w:p w:rsidR="004F1EAD" w:rsidRPr="00F13FC3" w:rsidRDefault="00871B62" w:rsidP="00871B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«Проверка и анализ </w:t>
      </w:r>
      <w:r w:rsidR="004F1EAD" w:rsidRPr="00F13FC3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="004F1EAD" w:rsidRPr="00F13FC3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4F1EAD" w:rsidRPr="00F13FC3" w:rsidRDefault="004F1EAD" w:rsidP="00F13F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FC3">
        <w:rPr>
          <w:rFonts w:ascii="Times New Roman" w:hAnsi="Times New Roman" w:cs="Times New Roman"/>
          <w:sz w:val="24"/>
          <w:szCs w:val="24"/>
        </w:rPr>
        <w:t>финансового аудита</w:t>
      </w:r>
      <w:r w:rsidR="00871B62">
        <w:rPr>
          <w:rFonts w:ascii="Times New Roman" w:hAnsi="Times New Roman" w:cs="Times New Roman"/>
          <w:sz w:val="24"/>
          <w:szCs w:val="24"/>
        </w:rPr>
        <w:t>»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1EAD" w:rsidRPr="00871B62" w:rsidRDefault="004F1EAD" w:rsidP="00F13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37"/>
      <w:bookmarkEnd w:id="8"/>
      <w:r w:rsidRPr="00871B62">
        <w:rPr>
          <w:rFonts w:ascii="Times New Roman" w:hAnsi="Times New Roman" w:cs="Times New Roman"/>
          <w:sz w:val="28"/>
          <w:szCs w:val="28"/>
        </w:rPr>
        <w:t>Результаты аудиторских проверок,</w:t>
      </w:r>
    </w:p>
    <w:p w:rsidR="004F1EAD" w:rsidRPr="00F13FC3" w:rsidRDefault="004F1EAD" w:rsidP="00F13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1B62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871B62">
        <w:rPr>
          <w:rFonts w:ascii="Times New Roman" w:hAnsi="Times New Roman" w:cs="Times New Roman"/>
          <w:sz w:val="28"/>
          <w:szCs w:val="28"/>
        </w:rPr>
        <w:t xml:space="preserve"> субъектом внутреннего</w:t>
      </w:r>
      <w:r w:rsidRPr="00F13FC3">
        <w:rPr>
          <w:rFonts w:ascii="Times New Roman" w:hAnsi="Times New Roman" w:cs="Times New Roman"/>
          <w:sz w:val="28"/>
          <w:szCs w:val="28"/>
        </w:rPr>
        <w:t xml:space="preserve"> финансового аудита</w:t>
      </w:r>
    </w:p>
    <w:p w:rsidR="004F1EAD" w:rsidRPr="00F13FC3" w:rsidRDefault="004F1EAD" w:rsidP="00F13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F1EAD" w:rsidRPr="00F13FC3" w:rsidRDefault="004F1EAD" w:rsidP="00871B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3FC3">
        <w:rPr>
          <w:rFonts w:ascii="Times New Roman" w:hAnsi="Times New Roman" w:cs="Times New Roman"/>
          <w:sz w:val="24"/>
          <w:szCs w:val="24"/>
        </w:rPr>
        <w:t>(наименование главного ад</w:t>
      </w:r>
      <w:r w:rsidR="00871B62">
        <w:rPr>
          <w:rFonts w:ascii="Times New Roman" w:hAnsi="Times New Roman" w:cs="Times New Roman"/>
          <w:sz w:val="24"/>
          <w:szCs w:val="24"/>
        </w:rPr>
        <w:t xml:space="preserve">министратора бюджетных средств, </w:t>
      </w:r>
      <w:r w:rsidRPr="00F13FC3">
        <w:rPr>
          <w:rFonts w:ascii="Times New Roman" w:hAnsi="Times New Roman" w:cs="Times New Roman"/>
          <w:sz w:val="24"/>
          <w:szCs w:val="24"/>
        </w:rPr>
        <w:t>администратора бюджетных средств)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28"/>
        <w:gridCol w:w="1134"/>
        <w:gridCol w:w="1389"/>
        <w:gridCol w:w="1616"/>
        <w:gridCol w:w="1027"/>
        <w:gridCol w:w="709"/>
        <w:gridCol w:w="1496"/>
        <w:gridCol w:w="794"/>
        <w:gridCol w:w="879"/>
        <w:gridCol w:w="595"/>
        <w:gridCol w:w="737"/>
        <w:gridCol w:w="680"/>
        <w:gridCol w:w="794"/>
        <w:gridCol w:w="908"/>
      </w:tblGrid>
      <w:tr w:rsidR="004F1EAD" w:rsidRPr="00871B62" w:rsidTr="00871B62">
        <w:tc>
          <w:tcPr>
            <w:tcW w:w="1644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Сумма бюджетных средств, в отношении которых проведены аудиторские проверки субъектом внутреннего финансового аудита (в случае наличия в соответствующей отчетности) (тыс. рублей)</w:t>
            </w:r>
          </w:p>
        </w:tc>
        <w:tc>
          <w:tcPr>
            <w:tcW w:w="8993" w:type="dxa"/>
            <w:gridSpan w:val="8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Объемы выявленных нарушений по результатам аудиторских проверок субъекта внутреннего финансового аудита (тыс. рублей)</w:t>
            </w:r>
          </w:p>
        </w:tc>
        <w:tc>
          <w:tcPr>
            <w:tcW w:w="4593" w:type="dxa"/>
            <w:gridSpan w:val="6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Принятые меры по устранению выявленных нарушений, в том числе:</w:t>
            </w:r>
          </w:p>
        </w:tc>
      </w:tr>
      <w:tr w:rsidR="004F1EAD" w:rsidRPr="00871B62" w:rsidTr="00871B62">
        <w:tc>
          <w:tcPr>
            <w:tcW w:w="1644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 w:val="restart"/>
          </w:tcPr>
          <w:p w:rsidR="004F1EAD" w:rsidRPr="00250976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976">
              <w:rPr>
                <w:rFonts w:ascii="Times New Roman" w:hAnsi="Times New Roman" w:cs="Times New Roman"/>
                <w:sz w:val="16"/>
                <w:szCs w:val="16"/>
              </w:rPr>
              <w:t>нецелевое использование бюджетных средств</w:t>
            </w:r>
          </w:p>
        </w:tc>
        <w:tc>
          <w:tcPr>
            <w:tcW w:w="1134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нарушения при осуществлении государственных закупок</w:t>
            </w:r>
          </w:p>
        </w:tc>
        <w:tc>
          <w:tcPr>
            <w:tcW w:w="1389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нарушения указаний о порядке применения бюджетной классификации Российской Федерации</w:t>
            </w:r>
          </w:p>
        </w:tc>
        <w:tc>
          <w:tcPr>
            <w:tcW w:w="1616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нарушения налогового, таможенного, бюджетного и иного законодательства, в результате которых образовались потери доходов бюджета</w:t>
            </w:r>
          </w:p>
        </w:tc>
        <w:tc>
          <w:tcPr>
            <w:tcW w:w="1027" w:type="dxa"/>
            <w:vMerge w:val="restart"/>
          </w:tcPr>
          <w:p w:rsidR="004F1EAD" w:rsidRPr="00871B62" w:rsidRDefault="004F1EAD" w:rsidP="002509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при работе с </w:t>
            </w:r>
            <w:r w:rsidR="00250976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собственностью</w:t>
            </w:r>
          </w:p>
        </w:tc>
        <w:tc>
          <w:tcPr>
            <w:tcW w:w="709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нарушения учета и отчетности</w:t>
            </w:r>
          </w:p>
        </w:tc>
        <w:tc>
          <w:tcPr>
            <w:tcW w:w="1496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нарушения условий предоставления бюджетных средств (бюджетных кредитов, межбюджетных трансфертов, бюджетных инвестиций, субсидий)</w:t>
            </w:r>
          </w:p>
        </w:tc>
        <w:tc>
          <w:tcPr>
            <w:tcW w:w="794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иные нарушения</w:t>
            </w:r>
          </w:p>
        </w:tc>
        <w:tc>
          <w:tcPr>
            <w:tcW w:w="1474" w:type="dxa"/>
            <w:gridSpan w:val="2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возмещенные средства</w:t>
            </w:r>
          </w:p>
        </w:tc>
        <w:tc>
          <w:tcPr>
            <w:tcW w:w="3119" w:type="dxa"/>
            <w:gridSpan w:val="4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62">
              <w:rPr>
                <w:rFonts w:ascii="Times New Roman" w:hAnsi="Times New Roman" w:cs="Times New Roman"/>
                <w:sz w:val="18"/>
                <w:szCs w:val="18"/>
              </w:rPr>
              <w:t>привлечение к ответственности виновных должностных лиц, в том числе:</w:t>
            </w:r>
          </w:p>
        </w:tc>
      </w:tr>
      <w:tr w:rsidR="004F1EAD" w:rsidRPr="00871B62" w:rsidTr="00871B62">
        <w:tc>
          <w:tcPr>
            <w:tcW w:w="1644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объем возмещенных средств (тыс. рублей)</w:t>
            </w:r>
          </w:p>
        </w:tc>
        <w:tc>
          <w:tcPr>
            <w:tcW w:w="595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71B62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71B62">
              <w:rPr>
                <w:rFonts w:ascii="Times New Roman" w:hAnsi="Times New Roman" w:cs="Times New Roman"/>
                <w:sz w:val="16"/>
                <w:szCs w:val="16"/>
              </w:rPr>
              <w:t xml:space="preserve"> объему средств, подлежащих возмещению</w:t>
            </w:r>
          </w:p>
        </w:tc>
        <w:tc>
          <w:tcPr>
            <w:tcW w:w="1417" w:type="dxa"/>
            <w:gridSpan w:val="2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к материальной</w:t>
            </w:r>
          </w:p>
        </w:tc>
        <w:tc>
          <w:tcPr>
            <w:tcW w:w="794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к уголовной (кол-во должностных лиц)</w:t>
            </w:r>
          </w:p>
        </w:tc>
        <w:tc>
          <w:tcPr>
            <w:tcW w:w="908" w:type="dxa"/>
            <w:vMerge w:val="restart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62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административной</w:t>
            </w:r>
            <w:proofErr w:type="gramEnd"/>
            <w:r w:rsidRPr="00871B62">
              <w:rPr>
                <w:rFonts w:ascii="Times New Roman" w:hAnsi="Times New Roman" w:cs="Times New Roman"/>
                <w:sz w:val="16"/>
                <w:szCs w:val="16"/>
              </w:rPr>
              <w:t xml:space="preserve"> и дисциплинарной (кол-во должностных лиц)</w:t>
            </w:r>
          </w:p>
        </w:tc>
      </w:tr>
      <w:tr w:rsidR="004F1EAD" w:rsidRPr="00871B62" w:rsidTr="00871B62">
        <w:tc>
          <w:tcPr>
            <w:tcW w:w="1644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4F1EAD" w:rsidRPr="00871B62" w:rsidRDefault="004F1EAD" w:rsidP="00F13FC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4F1EAD" w:rsidRPr="00871B62" w:rsidRDefault="004F1EAD" w:rsidP="00F13FC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кол-во должностных лиц</w:t>
            </w:r>
          </w:p>
        </w:tc>
        <w:tc>
          <w:tcPr>
            <w:tcW w:w="680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62">
              <w:rPr>
                <w:rFonts w:ascii="Times New Roman" w:hAnsi="Times New Roman" w:cs="Times New Roman"/>
                <w:sz w:val="16"/>
                <w:szCs w:val="16"/>
              </w:rPr>
              <w:t>сумма (тыс. рублей)</w:t>
            </w:r>
          </w:p>
        </w:tc>
        <w:tc>
          <w:tcPr>
            <w:tcW w:w="794" w:type="dxa"/>
            <w:vMerge/>
          </w:tcPr>
          <w:p w:rsidR="004F1EAD" w:rsidRPr="00871B62" w:rsidRDefault="004F1EAD" w:rsidP="00F13FC3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4F1EAD" w:rsidRPr="00871B62" w:rsidRDefault="004F1EAD" w:rsidP="00F13FC3">
            <w:pPr>
              <w:rPr>
                <w:sz w:val="20"/>
                <w:szCs w:val="20"/>
              </w:rPr>
            </w:pPr>
          </w:p>
        </w:tc>
      </w:tr>
      <w:tr w:rsidR="004F1EAD" w:rsidRPr="00871B62" w:rsidTr="00871B62">
        <w:tc>
          <w:tcPr>
            <w:tcW w:w="1644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8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9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16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96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4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9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5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37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94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8" w:type="dxa"/>
          </w:tcPr>
          <w:p w:rsidR="004F1EAD" w:rsidRPr="00871B62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62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F1EAD" w:rsidRPr="00F13FC3" w:rsidTr="00871B62">
        <w:tc>
          <w:tcPr>
            <w:tcW w:w="164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AD" w:rsidRPr="00F13FC3" w:rsidTr="00871B62">
        <w:tc>
          <w:tcPr>
            <w:tcW w:w="164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AD" w:rsidRPr="00F13FC3" w:rsidTr="00871B62">
        <w:tc>
          <w:tcPr>
            <w:tcW w:w="164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EAD" w:rsidRPr="00F13FC3" w:rsidRDefault="004F1EAD" w:rsidP="00F13FC3">
      <w:pPr>
        <w:rPr>
          <w:sz w:val="28"/>
          <w:szCs w:val="28"/>
        </w:rPr>
        <w:sectPr w:rsidR="004F1EAD" w:rsidRPr="00F13F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F1EAD" w:rsidRPr="00871B62" w:rsidRDefault="00871B62" w:rsidP="00F13F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1EAD" w:rsidRPr="00871B6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F1EAD" w:rsidRP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>к С</w:t>
      </w:r>
      <w:r w:rsidR="004F1EAD" w:rsidRPr="00871B62">
        <w:rPr>
          <w:rFonts w:ascii="Times New Roman" w:hAnsi="Times New Roman" w:cs="Times New Roman"/>
          <w:sz w:val="24"/>
          <w:szCs w:val="24"/>
        </w:rPr>
        <w:t xml:space="preserve">тандарту </w:t>
      </w:r>
      <w:proofErr w:type="gramStart"/>
      <w:r w:rsidR="004F1EAD" w:rsidRPr="00871B62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4F1EAD" w:rsidRP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>муниципального</w:t>
      </w:r>
      <w:r w:rsidR="004F1EAD" w:rsidRPr="00871B62">
        <w:rPr>
          <w:rFonts w:ascii="Times New Roman" w:hAnsi="Times New Roman" w:cs="Times New Roman"/>
          <w:sz w:val="24"/>
          <w:szCs w:val="24"/>
        </w:rPr>
        <w:t xml:space="preserve"> аудита (контроля)</w:t>
      </w:r>
    </w:p>
    <w:p w:rsidR="004F1EAD" w:rsidRPr="00871B62" w:rsidRDefault="004F1EAD" w:rsidP="00F13F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>С</w:t>
      </w:r>
      <w:r w:rsidR="00871B62" w:rsidRPr="00871B62">
        <w:rPr>
          <w:rFonts w:ascii="Times New Roman" w:hAnsi="Times New Roman" w:cs="Times New Roman"/>
          <w:sz w:val="24"/>
          <w:szCs w:val="24"/>
        </w:rPr>
        <w:t>М</w:t>
      </w:r>
      <w:r w:rsidRPr="00871B62">
        <w:rPr>
          <w:rFonts w:ascii="Times New Roman" w:hAnsi="Times New Roman" w:cs="Times New Roman"/>
          <w:sz w:val="24"/>
          <w:szCs w:val="24"/>
        </w:rPr>
        <w:t xml:space="preserve">А </w:t>
      </w:r>
      <w:r w:rsidR="00871B62" w:rsidRPr="00871B62">
        <w:rPr>
          <w:rFonts w:ascii="Times New Roman" w:hAnsi="Times New Roman" w:cs="Times New Roman"/>
          <w:sz w:val="24"/>
          <w:szCs w:val="24"/>
        </w:rPr>
        <w:t>1 «</w:t>
      </w:r>
      <w:r w:rsidRPr="00871B62">
        <w:rPr>
          <w:rFonts w:ascii="Times New Roman" w:hAnsi="Times New Roman" w:cs="Times New Roman"/>
          <w:sz w:val="24"/>
          <w:szCs w:val="24"/>
        </w:rPr>
        <w:t>Проверка и анализ</w:t>
      </w:r>
    </w:p>
    <w:p w:rsidR="004F1EAD" w:rsidRPr="00871B62" w:rsidRDefault="004F1EAD" w:rsidP="00F13F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871B62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4F1EAD" w:rsidRPr="00871B62" w:rsidRDefault="004F1EAD" w:rsidP="00F13F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>финансового аудита</w:t>
      </w:r>
      <w:r w:rsidR="00871B62" w:rsidRPr="00871B62">
        <w:rPr>
          <w:rFonts w:ascii="Times New Roman" w:hAnsi="Times New Roman" w:cs="Times New Roman"/>
          <w:sz w:val="24"/>
          <w:szCs w:val="24"/>
        </w:rPr>
        <w:t>»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36"/>
      <w:bookmarkEnd w:id="9"/>
    </w:p>
    <w:p w:rsidR="004F1EAD" w:rsidRPr="00F13FC3" w:rsidRDefault="004F1EAD" w:rsidP="00F13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ПЕРЕЧЕНЬ</w:t>
      </w:r>
    </w:p>
    <w:p w:rsidR="004F1EAD" w:rsidRPr="00F13FC3" w:rsidRDefault="004F1EAD" w:rsidP="00871B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ВОПРОСОВ ДЛЯ ОЦЕНКИ РЕЗУЛЬ</w:t>
      </w:r>
      <w:r w:rsidR="00871B62">
        <w:rPr>
          <w:rFonts w:ascii="Times New Roman" w:hAnsi="Times New Roman" w:cs="Times New Roman"/>
          <w:sz w:val="28"/>
          <w:szCs w:val="28"/>
        </w:rPr>
        <w:t xml:space="preserve">ТАТОВ ОСУЩЕСТВЛЕНИЯ ВНУТРЕННЕГО </w:t>
      </w:r>
      <w:r w:rsidRPr="00F13FC3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Отметьте галочкой (V) соответствующий ответ:</w:t>
      </w:r>
    </w:p>
    <w:p w:rsidR="00871B62" w:rsidRDefault="00871B62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1. Оценка надежности внутреннего финансового контроля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____0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е осуществляется.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____3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существляется.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2. Подготовка рекомендаций по повышению эффективности внутреннего финансового контроля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____0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е осуществляется.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 не систематически.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____3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 систематически.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3. Подтверждение соответствия порядка ведения бюджетного учета стандартам бюджетного учета, установленным Министерством финансов Российской Федерации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____0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е осуществляется.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____3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существляется.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4. Подтверждение достоверности бюджетной отчетности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____0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е осуществляется.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 без применения риск-ориентированных подходов к организации деятельности по подтверждению достоверности бюджетной отчетности.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____3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 с применением риск-ориентированных подходов к организации деятельности по подтверждению достоверности бюджетной отчетности.</w:t>
      </w:r>
    </w:p>
    <w:p w:rsidR="004F1EAD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271" w:rsidRPr="00F13FC3" w:rsidRDefault="00156271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lastRenderedPageBreak/>
        <w:t>5. Подготовка предложений по повышению экономности и результативности использования бюджетных средств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____0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е осуществляется.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____1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 не систематически.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____3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существляется систематически.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 xml:space="preserve">6. Наличие нарушений, выявленных </w:t>
      </w:r>
      <w:r w:rsidR="00250976">
        <w:rPr>
          <w:rFonts w:ascii="Times New Roman" w:hAnsi="Times New Roman" w:cs="Times New Roman"/>
          <w:sz w:val="28"/>
          <w:szCs w:val="28"/>
        </w:rPr>
        <w:t>Контрольно-сч</w:t>
      </w:r>
      <w:r w:rsidRPr="00F13FC3">
        <w:rPr>
          <w:rFonts w:ascii="Times New Roman" w:hAnsi="Times New Roman" w:cs="Times New Roman"/>
          <w:sz w:val="28"/>
          <w:szCs w:val="28"/>
        </w:rPr>
        <w:t xml:space="preserve">етной палатой </w:t>
      </w:r>
      <w:r w:rsidR="00250976">
        <w:rPr>
          <w:rFonts w:ascii="Times New Roman" w:hAnsi="Times New Roman" w:cs="Times New Roman"/>
          <w:sz w:val="28"/>
          <w:szCs w:val="28"/>
        </w:rPr>
        <w:t>города Железногорска</w:t>
      </w:r>
      <w:r w:rsidRPr="00F13FC3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25097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3FC3">
        <w:rPr>
          <w:rFonts w:ascii="Times New Roman" w:hAnsi="Times New Roman" w:cs="Times New Roman"/>
          <w:sz w:val="28"/>
          <w:szCs w:val="28"/>
        </w:rPr>
        <w:t xml:space="preserve"> финансового контроля, не вскрытых субъектом внутреннего финансового аудита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____0 Нарушения присутствуют.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____3 Нарушения отсутствуют.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7. Оценка качества аудиторских выводов, предложений и рекомендаций, сделанных субъектом внутреннего аудита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____0 Реализация аудиторских выводов не осуществляется.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____1 Руководителем главного администратора бюджетных средств решение о недостаточной обоснованности аудиторских выводов, предложений и рекомендаций принято по более чем 50</w:t>
      </w:r>
      <w:r w:rsidR="00250976">
        <w:rPr>
          <w:rFonts w:ascii="Times New Roman" w:hAnsi="Times New Roman" w:cs="Times New Roman"/>
          <w:sz w:val="28"/>
          <w:szCs w:val="28"/>
        </w:rPr>
        <w:t xml:space="preserve"> </w:t>
      </w:r>
      <w:r w:rsidRPr="00F13FC3">
        <w:rPr>
          <w:rFonts w:ascii="Times New Roman" w:hAnsi="Times New Roman" w:cs="Times New Roman"/>
          <w:sz w:val="28"/>
          <w:szCs w:val="28"/>
        </w:rPr>
        <w:t>% аудиторских выводов, предложений и рекомендаций.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____2 Руководителем главного администратора бюджетных средств решение о недостаточной обоснованности аудиторских выводов, предложений и рекомендаций принято по менее чем 50</w:t>
      </w:r>
      <w:r w:rsidR="00250976">
        <w:rPr>
          <w:rFonts w:ascii="Times New Roman" w:hAnsi="Times New Roman" w:cs="Times New Roman"/>
          <w:sz w:val="28"/>
          <w:szCs w:val="28"/>
        </w:rPr>
        <w:t xml:space="preserve"> </w:t>
      </w:r>
      <w:r w:rsidRPr="00F13FC3">
        <w:rPr>
          <w:rFonts w:ascii="Times New Roman" w:hAnsi="Times New Roman" w:cs="Times New Roman"/>
          <w:sz w:val="28"/>
          <w:szCs w:val="28"/>
        </w:rPr>
        <w:t>% аудиторских выводов, предложений и рекомендаций.</w:t>
      </w:r>
    </w:p>
    <w:p w:rsidR="004F1EAD" w:rsidRPr="00F13FC3" w:rsidRDefault="004F1EAD" w:rsidP="00F13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____3 Руководителем главного администратора бюджетных сре</w:t>
      </w:r>
      <w:proofErr w:type="gramStart"/>
      <w:r w:rsidRPr="00F13F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3FC3">
        <w:rPr>
          <w:rFonts w:ascii="Times New Roman" w:hAnsi="Times New Roman" w:cs="Times New Roman"/>
          <w:sz w:val="28"/>
          <w:szCs w:val="28"/>
        </w:rPr>
        <w:t>инято решение о необходимости реализации 100</w:t>
      </w:r>
      <w:r w:rsidR="00250976">
        <w:rPr>
          <w:rFonts w:ascii="Times New Roman" w:hAnsi="Times New Roman" w:cs="Times New Roman"/>
          <w:sz w:val="28"/>
          <w:szCs w:val="28"/>
        </w:rPr>
        <w:t xml:space="preserve"> </w:t>
      </w:r>
      <w:r w:rsidRPr="00F13FC3">
        <w:rPr>
          <w:rFonts w:ascii="Times New Roman" w:hAnsi="Times New Roman" w:cs="Times New Roman"/>
          <w:sz w:val="28"/>
          <w:szCs w:val="28"/>
        </w:rPr>
        <w:t>% аудиторских выводов, предложений и рекомендаций.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Default="00871B62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B62" w:rsidRPr="00871B62" w:rsidRDefault="00871B62" w:rsidP="00871B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91"/>
      <w:bookmarkEnd w:id="10"/>
    </w:p>
    <w:p w:rsidR="00871B62" w:rsidRPr="00871B62" w:rsidRDefault="00871B62" w:rsidP="00871B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71B62" w:rsidRPr="00871B62" w:rsidRDefault="00871B62" w:rsidP="00871B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871B62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871B62" w:rsidRPr="00871B62" w:rsidRDefault="00871B62" w:rsidP="00871B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>муниципального аудита (контроля)</w:t>
      </w:r>
    </w:p>
    <w:p w:rsidR="00871B62" w:rsidRPr="00871B62" w:rsidRDefault="00871B62" w:rsidP="00871B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>СМА 1 «Проверка и анализ</w:t>
      </w:r>
    </w:p>
    <w:p w:rsidR="00871B62" w:rsidRPr="00871B62" w:rsidRDefault="00871B62" w:rsidP="00871B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871B62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871B62" w:rsidRPr="00871B62" w:rsidRDefault="00871B62" w:rsidP="00871B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B62">
        <w:rPr>
          <w:rFonts w:ascii="Times New Roman" w:hAnsi="Times New Roman" w:cs="Times New Roman"/>
          <w:sz w:val="24"/>
          <w:szCs w:val="24"/>
        </w:rPr>
        <w:t>финансового аудита»</w:t>
      </w:r>
    </w:p>
    <w:p w:rsidR="004F1EAD" w:rsidRPr="00F13FC3" w:rsidRDefault="004F1EAD" w:rsidP="00F13F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Интегральная оценка</w:t>
      </w:r>
    </w:p>
    <w:p w:rsidR="004F1EAD" w:rsidRPr="00F13FC3" w:rsidRDefault="004F1EAD" w:rsidP="00F13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результатов осуществления внутреннего финансового аудита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Таблица 1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3"/>
        <w:gridCol w:w="963"/>
        <w:gridCol w:w="963"/>
        <w:gridCol w:w="1020"/>
        <w:gridCol w:w="2268"/>
      </w:tblGrid>
      <w:tr w:rsidR="004F1EAD" w:rsidRPr="00F13FC3" w:rsidTr="002A5506">
        <w:tc>
          <w:tcPr>
            <w:tcW w:w="6798" w:type="dxa"/>
            <w:gridSpan w:val="7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Номера вопросов для оценки результатов осуществления внутреннего финансового аудита</w:t>
            </w:r>
          </w:p>
        </w:tc>
        <w:tc>
          <w:tcPr>
            <w:tcW w:w="2268" w:type="dxa"/>
            <w:vMerge w:val="restart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597"/>
            <w:bookmarkEnd w:id="11"/>
            <w:proofErr w:type="gramStart"/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Средняя оценка (</w:t>
            </w:r>
            <w:hyperlink w:anchor="P598" w:history="1">
              <w:r w:rsidRPr="00F13F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графы 1</w:t>
              </w:r>
            </w:hyperlink>
            <w:r w:rsidRPr="00F13FC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599" w:history="1">
              <w:r w:rsidRPr="00F13F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 w:rsidRPr="00F13FC3">
              <w:rPr>
                <w:rFonts w:ascii="Times New Roman" w:hAnsi="Times New Roman" w:cs="Times New Roman"/>
                <w:sz w:val="28"/>
                <w:szCs w:val="28"/>
              </w:rPr>
              <w:t xml:space="preserve"> + ... </w:t>
            </w:r>
            <w:hyperlink w:anchor="P604" w:history="1">
              <w:r w:rsidRPr="00F13F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) / количество заполненных граф)</w:t>
            </w:r>
            <w:proofErr w:type="gramEnd"/>
          </w:p>
        </w:tc>
      </w:tr>
      <w:tr w:rsidR="004F1EAD" w:rsidRPr="00F13FC3" w:rsidTr="002A5506"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598"/>
            <w:bookmarkEnd w:id="12"/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599"/>
            <w:bookmarkEnd w:id="13"/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604"/>
            <w:bookmarkEnd w:id="14"/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:rsidR="004F1EAD" w:rsidRPr="00F13FC3" w:rsidRDefault="004F1EAD" w:rsidP="00F13FC3">
            <w:pPr>
              <w:rPr>
                <w:sz w:val="28"/>
                <w:szCs w:val="28"/>
              </w:rPr>
            </w:pPr>
          </w:p>
        </w:tc>
      </w:tr>
      <w:tr w:rsidR="004F1EAD" w:rsidRPr="00F13FC3" w:rsidTr="002A5506">
        <w:tc>
          <w:tcPr>
            <w:tcW w:w="6798" w:type="dxa"/>
            <w:gridSpan w:val="7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Проставляются оценки выбранных вариантов ответов</w:t>
            </w:r>
          </w:p>
        </w:tc>
        <w:tc>
          <w:tcPr>
            <w:tcW w:w="226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AD" w:rsidRPr="00F13FC3" w:rsidTr="002A5506"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EAD" w:rsidRPr="00F13FC3" w:rsidRDefault="004F1EAD" w:rsidP="00F13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625"/>
      <w:bookmarkEnd w:id="15"/>
      <w:r w:rsidRPr="00F13FC3">
        <w:rPr>
          <w:rFonts w:ascii="Times New Roman" w:hAnsi="Times New Roman" w:cs="Times New Roman"/>
          <w:sz w:val="28"/>
          <w:szCs w:val="28"/>
        </w:rPr>
        <w:t>Матрица оценки</w:t>
      </w:r>
    </w:p>
    <w:p w:rsidR="004F1EAD" w:rsidRPr="00F13FC3" w:rsidRDefault="004F1EAD" w:rsidP="00F13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эффективности внутреннего финансового аудита (ВФА)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3FC3">
        <w:rPr>
          <w:rFonts w:ascii="Times New Roman" w:hAnsi="Times New Roman" w:cs="Times New Roman"/>
          <w:sz w:val="28"/>
          <w:szCs w:val="28"/>
        </w:rPr>
        <w:t>Таблица 2</w:t>
      </w:r>
    </w:p>
    <w:p w:rsidR="004F1EAD" w:rsidRPr="00F13FC3" w:rsidRDefault="004F1EAD" w:rsidP="00F13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2267"/>
        <w:gridCol w:w="2267"/>
      </w:tblGrid>
      <w:tr w:rsidR="004F1EAD" w:rsidRPr="00F13FC3" w:rsidTr="002A5506">
        <w:tc>
          <w:tcPr>
            <w:tcW w:w="2268" w:type="dxa"/>
            <w:vMerge w:val="restart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Интегральная оценка организации ВФА</w:t>
            </w:r>
          </w:p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(I этап оценки)</w:t>
            </w:r>
          </w:p>
        </w:tc>
        <w:tc>
          <w:tcPr>
            <w:tcW w:w="6801" w:type="dxa"/>
            <w:gridSpan w:val="3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Интегральная оценка результатов осуществления ВФА</w:t>
            </w:r>
          </w:p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(II этап оценки)</w:t>
            </w:r>
          </w:p>
        </w:tc>
      </w:tr>
      <w:tr w:rsidR="004F1EAD" w:rsidRPr="00F13FC3" w:rsidTr="002A5506">
        <w:tc>
          <w:tcPr>
            <w:tcW w:w="2268" w:type="dxa"/>
            <w:vMerge/>
          </w:tcPr>
          <w:p w:rsidR="004F1EAD" w:rsidRPr="00F13FC3" w:rsidRDefault="004F1EAD" w:rsidP="00F13FC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267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7" w:type="dxa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4F1EAD" w:rsidRPr="00F13FC3" w:rsidTr="002A5506">
        <w:tc>
          <w:tcPr>
            <w:tcW w:w="2268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F1EAD" w:rsidRPr="00F13FC3" w:rsidTr="002A5506">
        <w:tc>
          <w:tcPr>
            <w:tcW w:w="2268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Эффективность НИЗКАЯ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Эффективность СРЕДНЯЯ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Эффективность СРЕДНЯЯ</w:t>
            </w:r>
          </w:p>
        </w:tc>
      </w:tr>
      <w:tr w:rsidR="004F1EAD" w:rsidRPr="00F13FC3" w:rsidTr="002A5506">
        <w:tc>
          <w:tcPr>
            <w:tcW w:w="2268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Эффективность НИЗКАЯ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Эффективность СРЕДНЯЯ</w:t>
            </w:r>
          </w:p>
        </w:tc>
        <w:tc>
          <w:tcPr>
            <w:tcW w:w="2267" w:type="dxa"/>
            <w:vAlign w:val="center"/>
          </w:tcPr>
          <w:p w:rsidR="004F1EAD" w:rsidRPr="00F13FC3" w:rsidRDefault="004F1EAD" w:rsidP="00F13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3">
              <w:rPr>
                <w:rFonts w:ascii="Times New Roman" w:hAnsi="Times New Roman" w:cs="Times New Roman"/>
                <w:sz w:val="28"/>
                <w:szCs w:val="28"/>
              </w:rPr>
              <w:t>Эффективность ВЫСОКАЯ</w:t>
            </w:r>
          </w:p>
        </w:tc>
      </w:tr>
    </w:tbl>
    <w:p w:rsidR="004F1EAD" w:rsidRDefault="004F1EAD" w:rsidP="00F13FC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71B62" w:rsidRPr="00F13FC3" w:rsidRDefault="00871B62" w:rsidP="00F13FC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F1EAD" w:rsidRPr="00F13FC3" w:rsidRDefault="004F1EAD" w:rsidP="00F13FC3">
      <w:pPr>
        <w:rPr>
          <w:sz w:val="28"/>
          <w:szCs w:val="28"/>
        </w:rPr>
      </w:pPr>
    </w:p>
    <w:sectPr w:rsidR="004F1EAD" w:rsidRPr="00F1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C9" w:rsidRDefault="003726C9" w:rsidP="008F0788">
      <w:r>
        <w:separator/>
      </w:r>
    </w:p>
  </w:endnote>
  <w:endnote w:type="continuationSeparator" w:id="0">
    <w:p w:rsidR="003726C9" w:rsidRDefault="003726C9" w:rsidP="008F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C9" w:rsidRDefault="003726C9" w:rsidP="008F0788">
      <w:r>
        <w:separator/>
      </w:r>
    </w:p>
  </w:footnote>
  <w:footnote w:type="continuationSeparator" w:id="0">
    <w:p w:rsidR="003726C9" w:rsidRDefault="003726C9" w:rsidP="008F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130626"/>
      <w:docPartObj>
        <w:docPartGallery w:val="Page Numbers (Top of Page)"/>
        <w:docPartUnique/>
      </w:docPartObj>
    </w:sdtPr>
    <w:sdtContent>
      <w:p w:rsidR="003726C9" w:rsidRDefault="00372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D62">
          <w:rPr>
            <w:noProof/>
          </w:rPr>
          <w:t>25</w:t>
        </w:r>
        <w:r>
          <w:fldChar w:fldCharType="end"/>
        </w:r>
      </w:p>
    </w:sdtContent>
  </w:sdt>
  <w:p w:rsidR="003726C9" w:rsidRDefault="003726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FB"/>
    <w:rsid w:val="000A6F94"/>
    <w:rsid w:val="00107096"/>
    <w:rsid w:val="00156271"/>
    <w:rsid w:val="00250976"/>
    <w:rsid w:val="002A5506"/>
    <w:rsid w:val="002B26BC"/>
    <w:rsid w:val="003428E1"/>
    <w:rsid w:val="00355AFF"/>
    <w:rsid w:val="003726C9"/>
    <w:rsid w:val="003B796A"/>
    <w:rsid w:val="004C5333"/>
    <w:rsid w:val="004F1EAD"/>
    <w:rsid w:val="00585306"/>
    <w:rsid w:val="006511D9"/>
    <w:rsid w:val="006716F9"/>
    <w:rsid w:val="007234F1"/>
    <w:rsid w:val="007A2B04"/>
    <w:rsid w:val="007E7852"/>
    <w:rsid w:val="00804262"/>
    <w:rsid w:val="008216AD"/>
    <w:rsid w:val="00871B62"/>
    <w:rsid w:val="00877759"/>
    <w:rsid w:val="008F0788"/>
    <w:rsid w:val="00911B8D"/>
    <w:rsid w:val="009123DF"/>
    <w:rsid w:val="00940D9D"/>
    <w:rsid w:val="00A1367A"/>
    <w:rsid w:val="00A17F42"/>
    <w:rsid w:val="00A37561"/>
    <w:rsid w:val="00A42D23"/>
    <w:rsid w:val="00A947FC"/>
    <w:rsid w:val="00A94871"/>
    <w:rsid w:val="00AA6D68"/>
    <w:rsid w:val="00B703C3"/>
    <w:rsid w:val="00BD76EE"/>
    <w:rsid w:val="00C42D62"/>
    <w:rsid w:val="00C90668"/>
    <w:rsid w:val="00CA52FB"/>
    <w:rsid w:val="00CC4A99"/>
    <w:rsid w:val="00DD55EB"/>
    <w:rsid w:val="00DE1267"/>
    <w:rsid w:val="00E16834"/>
    <w:rsid w:val="00E66C52"/>
    <w:rsid w:val="00EA3266"/>
    <w:rsid w:val="00EB70A7"/>
    <w:rsid w:val="00EC6CFD"/>
    <w:rsid w:val="00EE0E0E"/>
    <w:rsid w:val="00F13FC3"/>
    <w:rsid w:val="00F77FA6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52FB"/>
    <w:pPr>
      <w:spacing w:before="120" w:after="120"/>
      <w:jc w:val="both"/>
    </w:pPr>
  </w:style>
  <w:style w:type="paragraph" w:customStyle="1" w:styleId="ConsPlusTitle">
    <w:name w:val="ConsPlusTitle"/>
    <w:rsid w:val="00CA5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1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07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07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52FB"/>
    <w:pPr>
      <w:spacing w:before="120" w:after="120"/>
      <w:jc w:val="both"/>
    </w:pPr>
  </w:style>
  <w:style w:type="paragraph" w:customStyle="1" w:styleId="ConsPlusTitle">
    <w:name w:val="ConsPlusTitle"/>
    <w:rsid w:val="00CA5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1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07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07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E5F62A1ADB0FF986790F19A3442E2C36F6E12135C9BB7FB9B5248400FAC30D9043CE40486E9160CD9EEFC2D96995D6E342346D008210W45CI" TargetMode="External"/><Relationship Id="rId13" Type="http://schemas.openxmlformats.org/officeDocument/2006/relationships/hyperlink" Target="consultantplus://offline/ref=ECCACBC6E8AC6C893C5F0877C31825CC09D2B64A187431645621C2E7181673347E2999DE24B85D0CC5679116747BE7E2BE484DE4F725046Fy3P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B9E5F62A1ADB0FF986790F19A3442E2C37FBE22E32C9BB7FB9B5248400FAC31F901BC2424173916CD8C8BE84W85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B9E5F62A1ADB0FF986790F19A3442E2C31FBEF2236C9BB7FB9B5248400FAC30D9043CC464B6A9A31978EEB8B8E6D89DFF45C3F7300W85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E5F62A1ADB0FF986790F19A3442E2C31FBEF2236C9BB7FB9B5248400FAC30D9043CD444D6A9A31978EEB8B8E6D89DFF45C3F7300W85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9EEA-941E-491F-B0A0-9AB1485F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7492</Words>
  <Characters>42710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2020-12-03T11:44:00Z</cp:lastPrinted>
  <dcterms:created xsi:type="dcterms:W3CDTF">2020-12-03T11:44:00Z</dcterms:created>
  <dcterms:modified xsi:type="dcterms:W3CDTF">2020-12-03T11:44:00Z</dcterms:modified>
</cp:coreProperties>
</file>