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D1" w:rsidRPr="00817871" w:rsidRDefault="00C32B93" w:rsidP="00416AE3">
      <w:pPr>
        <w:ind w:right="-83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756285" cy="764540"/>
            <wp:effectExtent l="0" t="0" r="5715" b="0"/>
            <wp:wrapSquare wrapText="left"/>
            <wp:docPr id="3" name="Рисунок 1" descr="Герб(%20уменьш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(%20уменьшенн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E3">
        <w:rPr>
          <w:highlight w:val="yellow"/>
        </w:rPr>
        <w:br w:type="textWrapping" w:clear="all"/>
      </w:r>
    </w:p>
    <w:p w:rsidR="00CC26D1" w:rsidRPr="001A7FEB" w:rsidRDefault="00CC26D1" w:rsidP="00CE4A7A">
      <w:pPr>
        <w:shd w:val="clear" w:color="auto" w:fill="FFFFFF"/>
        <w:tabs>
          <w:tab w:val="left" w:pos="9600"/>
        </w:tabs>
        <w:spacing w:before="5"/>
        <w:ind w:right="38" w:firstLine="709"/>
        <w:jc w:val="center"/>
        <w:rPr>
          <w:spacing w:val="-3"/>
          <w:sz w:val="28"/>
          <w:szCs w:val="28"/>
        </w:rPr>
      </w:pPr>
      <w:r w:rsidRPr="001A7FEB">
        <w:rPr>
          <w:spacing w:val="-3"/>
          <w:sz w:val="28"/>
          <w:szCs w:val="28"/>
        </w:rPr>
        <w:t xml:space="preserve">Муниципальное образование </w:t>
      </w:r>
      <w:r w:rsidRPr="001A7FEB">
        <w:rPr>
          <w:spacing w:val="-4"/>
          <w:sz w:val="28"/>
          <w:szCs w:val="28"/>
        </w:rPr>
        <w:t xml:space="preserve">"город Железногорск" </w:t>
      </w:r>
      <w:proofErr w:type="gramStart"/>
      <w:r w:rsidRPr="001A7FEB">
        <w:rPr>
          <w:spacing w:val="-4"/>
          <w:sz w:val="28"/>
          <w:szCs w:val="28"/>
        </w:rPr>
        <w:t>Курской</w:t>
      </w:r>
      <w:proofErr w:type="gramEnd"/>
      <w:r w:rsidRPr="001A7FEB">
        <w:rPr>
          <w:spacing w:val="-4"/>
          <w:sz w:val="28"/>
          <w:szCs w:val="28"/>
        </w:rPr>
        <w:t xml:space="preserve"> области</w:t>
      </w:r>
    </w:p>
    <w:p w:rsidR="00CC26D1" w:rsidRPr="001A7FEB" w:rsidRDefault="00CC26D1" w:rsidP="00CE4A7A">
      <w:pPr>
        <w:pStyle w:val="a3"/>
        <w:ind w:firstLine="709"/>
      </w:pPr>
      <w:r w:rsidRPr="001A7FEB">
        <w:t>КОНТРОЛЬНО-СЧЁТНАЯ ПАЛАТА</w:t>
      </w:r>
    </w:p>
    <w:p w:rsidR="00CC26D1" w:rsidRPr="001A7FEB" w:rsidRDefault="00CC26D1" w:rsidP="00CE4A7A">
      <w:pPr>
        <w:pStyle w:val="a3"/>
        <w:ind w:left="-240" w:firstLine="709"/>
        <w:rPr>
          <w:sz w:val="32"/>
          <w:szCs w:val="32"/>
        </w:rPr>
      </w:pPr>
      <w:r w:rsidRPr="001A7FEB">
        <w:rPr>
          <w:sz w:val="32"/>
          <w:szCs w:val="32"/>
        </w:rPr>
        <w:t>города Железногорска Курской области</w:t>
      </w:r>
    </w:p>
    <w:p w:rsidR="00CC26D1" w:rsidRPr="001A7FEB" w:rsidRDefault="00CC26D1" w:rsidP="00CE4A7A">
      <w:pPr>
        <w:pBdr>
          <w:bottom w:val="thinThickSmallGap" w:sz="24" w:space="1" w:color="auto"/>
        </w:pBdr>
        <w:ind w:firstLine="709"/>
        <w:jc w:val="center"/>
      </w:pPr>
      <w:r w:rsidRPr="001A7FEB">
        <w:rPr>
          <w:i/>
          <w:sz w:val="14"/>
          <w:szCs w:val="14"/>
        </w:rPr>
        <w:t xml:space="preserve">307170 Курская область, г. Железногорск, ул. Рокоссовского, дом 56 тел.(факс):8(47148)7-71-14; </w:t>
      </w:r>
      <w:r w:rsidRPr="001A7FEB">
        <w:rPr>
          <w:i/>
          <w:sz w:val="14"/>
          <w:szCs w:val="14"/>
          <w:lang w:val="en-US"/>
        </w:rPr>
        <w:t>E</w:t>
      </w:r>
      <w:r w:rsidRPr="001A7FEB">
        <w:rPr>
          <w:i/>
          <w:sz w:val="14"/>
          <w:szCs w:val="14"/>
        </w:rPr>
        <w:t>-</w:t>
      </w:r>
      <w:r w:rsidRPr="001A7FEB">
        <w:rPr>
          <w:i/>
          <w:sz w:val="14"/>
          <w:szCs w:val="14"/>
          <w:lang w:val="en-US"/>
        </w:rPr>
        <w:t>mail</w:t>
      </w:r>
      <w:r w:rsidRPr="001A7FEB">
        <w:rPr>
          <w:i/>
          <w:sz w:val="14"/>
          <w:szCs w:val="14"/>
        </w:rPr>
        <w:t xml:space="preserve">: </w:t>
      </w:r>
      <w:proofErr w:type="spellStart"/>
      <w:r w:rsidRPr="001A7FEB">
        <w:rPr>
          <w:i/>
          <w:sz w:val="14"/>
          <w:szCs w:val="14"/>
          <w:lang w:val="en-US"/>
        </w:rPr>
        <w:t>kspzhel</w:t>
      </w:r>
      <w:proofErr w:type="spellEnd"/>
      <w:r w:rsidRPr="001A7FEB">
        <w:rPr>
          <w:i/>
          <w:sz w:val="14"/>
          <w:szCs w:val="14"/>
        </w:rPr>
        <w:t>@</w:t>
      </w:r>
      <w:r w:rsidRPr="001A7FEB">
        <w:rPr>
          <w:i/>
          <w:sz w:val="14"/>
          <w:szCs w:val="14"/>
          <w:lang w:val="en-US"/>
        </w:rPr>
        <w:t>mail</w:t>
      </w:r>
      <w:r w:rsidRPr="001A7FEB">
        <w:rPr>
          <w:i/>
          <w:sz w:val="14"/>
          <w:szCs w:val="14"/>
        </w:rPr>
        <w:t>.</w:t>
      </w:r>
      <w:proofErr w:type="spellStart"/>
      <w:r w:rsidRPr="001A7FEB">
        <w:rPr>
          <w:i/>
          <w:sz w:val="14"/>
          <w:szCs w:val="14"/>
          <w:lang w:val="en-US"/>
        </w:rPr>
        <w:t>ru</w:t>
      </w:r>
      <w:proofErr w:type="spellEnd"/>
    </w:p>
    <w:p w:rsidR="00CC26D1" w:rsidRDefault="00CC26D1" w:rsidP="00CE4A7A">
      <w:pPr>
        <w:ind w:firstLine="709"/>
        <w:jc w:val="right"/>
        <w:rPr>
          <w:sz w:val="22"/>
          <w:szCs w:val="22"/>
          <w:highlight w:val="yellow"/>
        </w:rPr>
      </w:pP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Утвержден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распоряжением председателя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Контрольно-счетной палаты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города Железногорска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EF76BD">
        <w:rPr>
          <w:sz w:val="22"/>
          <w:szCs w:val="22"/>
        </w:rPr>
        <w:t>от</w:t>
      </w:r>
      <w:r w:rsidR="00987609" w:rsidRPr="00EF76BD">
        <w:rPr>
          <w:sz w:val="22"/>
          <w:szCs w:val="22"/>
        </w:rPr>
        <w:t xml:space="preserve"> </w:t>
      </w:r>
      <w:r w:rsidR="00A44CCE">
        <w:rPr>
          <w:sz w:val="22"/>
          <w:szCs w:val="22"/>
        </w:rPr>
        <w:t>09</w:t>
      </w:r>
      <w:r w:rsidR="00C33BF0" w:rsidRPr="00EF76BD">
        <w:rPr>
          <w:sz w:val="22"/>
          <w:szCs w:val="22"/>
        </w:rPr>
        <w:t xml:space="preserve"> </w:t>
      </w:r>
      <w:r w:rsidR="00250A53">
        <w:rPr>
          <w:sz w:val="22"/>
          <w:szCs w:val="22"/>
        </w:rPr>
        <w:t>ноября</w:t>
      </w:r>
      <w:r w:rsidR="00987609" w:rsidRPr="00EF76BD">
        <w:rPr>
          <w:sz w:val="22"/>
          <w:szCs w:val="22"/>
        </w:rPr>
        <w:t xml:space="preserve"> </w:t>
      </w:r>
      <w:r w:rsidRPr="00EF76BD">
        <w:rPr>
          <w:sz w:val="22"/>
          <w:szCs w:val="22"/>
        </w:rPr>
        <w:t>201</w:t>
      </w:r>
      <w:r w:rsidR="007C1862" w:rsidRPr="00EF76BD">
        <w:rPr>
          <w:sz w:val="22"/>
          <w:szCs w:val="22"/>
        </w:rPr>
        <w:t xml:space="preserve">8 </w:t>
      </w:r>
      <w:r w:rsidR="0011280F" w:rsidRPr="00EF76BD">
        <w:rPr>
          <w:sz w:val="22"/>
          <w:szCs w:val="22"/>
        </w:rPr>
        <w:t>г.</w:t>
      </w:r>
      <w:r w:rsidRPr="00EF76BD">
        <w:rPr>
          <w:sz w:val="22"/>
          <w:szCs w:val="22"/>
        </w:rPr>
        <w:t xml:space="preserve"> № </w:t>
      </w:r>
      <w:r w:rsidR="00A44CCE">
        <w:rPr>
          <w:sz w:val="22"/>
          <w:szCs w:val="22"/>
        </w:rPr>
        <w:t>83</w:t>
      </w:r>
    </w:p>
    <w:p w:rsidR="00CC26D1" w:rsidRPr="008036AD" w:rsidRDefault="001B69B5" w:rsidP="0084488F">
      <w:pPr>
        <w:jc w:val="center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ОТЧЕТ № 13</w:t>
      </w:r>
    </w:p>
    <w:p w:rsidR="00CC26D1" w:rsidRPr="008036AD" w:rsidRDefault="00CC26D1" w:rsidP="0084488F">
      <w:pPr>
        <w:jc w:val="center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 xml:space="preserve">о результатах экспертно-аналитического мероприятия </w:t>
      </w:r>
    </w:p>
    <w:p w:rsidR="00CC26D1" w:rsidRPr="008036AD" w:rsidRDefault="00CC26D1" w:rsidP="0084488F">
      <w:pPr>
        <w:jc w:val="center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 xml:space="preserve">«Аудит в сфере закупок за </w:t>
      </w:r>
      <w:r w:rsidR="008036AD">
        <w:rPr>
          <w:b/>
          <w:sz w:val="26"/>
          <w:szCs w:val="26"/>
          <w:lang w:val="en-US"/>
        </w:rPr>
        <w:t>I</w:t>
      </w:r>
      <w:r w:rsidR="008036AD" w:rsidRPr="008036AD">
        <w:rPr>
          <w:b/>
          <w:sz w:val="26"/>
          <w:szCs w:val="26"/>
        </w:rPr>
        <w:t xml:space="preserve"> </w:t>
      </w:r>
      <w:r w:rsidR="006B3555" w:rsidRPr="008036AD">
        <w:rPr>
          <w:b/>
          <w:sz w:val="26"/>
          <w:szCs w:val="26"/>
        </w:rPr>
        <w:t xml:space="preserve">полугодие </w:t>
      </w:r>
      <w:r w:rsidR="00414E3D" w:rsidRPr="008036AD">
        <w:rPr>
          <w:b/>
          <w:sz w:val="26"/>
          <w:szCs w:val="26"/>
        </w:rPr>
        <w:t>2018 года</w:t>
      </w:r>
      <w:r w:rsidRPr="008036AD">
        <w:rPr>
          <w:b/>
          <w:sz w:val="26"/>
          <w:szCs w:val="26"/>
        </w:rPr>
        <w:t>»</w:t>
      </w:r>
    </w:p>
    <w:p w:rsidR="00CC26D1" w:rsidRPr="008036AD" w:rsidRDefault="00CC26D1" w:rsidP="00CE4A7A">
      <w:pPr>
        <w:ind w:firstLine="709"/>
        <w:rPr>
          <w:sz w:val="26"/>
          <w:szCs w:val="26"/>
        </w:rPr>
      </w:pPr>
    </w:p>
    <w:p w:rsidR="00CC26D1" w:rsidRPr="008036AD" w:rsidRDefault="00CC26D1" w:rsidP="008D2774">
      <w:pPr>
        <w:pStyle w:val="a6"/>
        <w:ind w:left="0" w:firstLine="709"/>
        <w:jc w:val="both"/>
        <w:rPr>
          <w:sz w:val="26"/>
          <w:szCs w:val="26"/>
        </w:rPr>
      </w:pPr>
      <w:r w:rsidRPr="008036AD">
        <w:rPr>
          <w:b/>
          <w:sz w:val="26"/>
          <w:szCs w:val="26"/>
        </w:rPr>
        <w:t>Основание для проведения мероприятия:</w:t>
      </w:r>
      <w:r w:rsidRPr="008036AD">
        <w:rPr>
          <w:sz w:val="26"/>
          <w:szCs w:val="26"/>
        </w:rPr>
        <w:t xml:space="preserve"> пункт 1</w:t>
      </w:r>
      <w:r w:rsidR="007C1862" w:rsidRPr="008036AD">
        <w:rPr>
          <w:sz w:val="26"/>
          <w:szCs w:val="26"/>
        </w:rPr>
        <w:t xml:space="preserve">1 </w:t>
      </w:r>
      <w:r w:rsidRPr="008036AD">
        <w:rPr>
          <w:sz w:val="26"/>
          <w:szCs w:val="26"/>
        </w:rPr>
        <w:t xml:space="preserve">раздела </w:t>
      </w:r>
      <w:r w:rsidRPr="008036AD">
        <w:rPr>
          <w:sz w:val="26"/>
          <w:szCs w:val="26"/>
          <w:lang w:val="en-US"/>
        </w:rPr>
        <w:t>II</w:t>
      </w:r>
      <w:r w:rsidRPr="008036AD">
        <w:rPr>
          <w:sz w:val="26"/>
          <w:szCs w:val="26"/>
        </w:rPr>
        <w:t xml:space="preserve"> Плана работы Контрольно-счетной палаты города Железногорска Курской области на 201</w:t>
      </w:r>
      <w:r w:rsidR="005F2478" w:rsidRPr="008036AD">
        <w:rPr>
          <w:sz w:val="26"/>
          <w:szCs w:val="26"/>
        </w:rPr>
        <w:t>8</w:t>
      </w:r>
      <w:r w:rsidRPr="008036AD">
        <w:rPr>
          <w:sz w:val="26"/>
          <w:szCs w:val="26"/>
        </w:rPr>
        <w:t xml:space="preserve"> год, распоряжение председателя Контрольно-счетной палаты города Железногорска Курской области </w:t>
      </w:r>
      <w:r w:rsidR="001B69B5" w:rsidRPr="008036AD">
        <w:rPr>
          <w:sz w:val="26"/>
          <w:szCs w:val="26"/>
        </w:rPr>
        <w:t xml:space="preserve">от </w:t>
      </w:r>
      <w:r w:rsidR="005F2478" w:rsidRPr="008036AD">
        <w:rPr>
          <w:sz w:val="26"/>
          <w:szCs w:val="26"/>
        </w:rPr>
        <w:t>12.12.2017 г</w:t>
      </w:r>
      <w:r w:rsidR="0011280F" w:rsidRPr="008036AD">
        <w:rPr>
          <w:sz w:val="26"/>
          <w:szCs w:val="26"/>
        </w:rPr>
        <w:t>.</w:t>
      </w:r>
      <w:r w:rsidR="005F2478" w:rsidRPr="008036AD">
        <w:rPr>
          <w:sz w:val="26"/>
          <w:szCs w:val="26"/>
        </w:rPr>
        <w:t xml:space="preserve"> № 78.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Предмет мероприятия:</w:t>
      </w:r>
    </w:p>
    <w:p w:rsidR="006B3555" w:rsidRPr="008036AD" w:rsidRDefault="006B3555" w:rsidP="006B3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>1. Бюджет города Железногорска.</w:t>
      </w:r>
    </w:p>
    <w:p w:rsidR="006B3555" w:rsidRPr="008036AD" w:rsidRDefault="006B3555" w:rsidP="006B3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 xml:space="preserve">2. Муниципальные контракты, гражданско-правовые договоры (контракты), предметом которых является поставка товара, выполнение работ, оказание услуг (в том числе приобретение недвижимого имущества или аренда имущества) от имени муниципального образования «город Железногорск», а также бюджетным учреждением либо иным юридическим лицом в соответствии с </w:t>
      </w:r>
      <w:hyperlink w:anchor="Par174" w:tooltip="Ссылка на текущий документ" w:history="1">
        <w:proofErr w:type="gramStart"/>
        <w:r w:rsidRPr="008036AD">
          <w:rPr>
            <w:rFonts w:ascii="Times New Roman" w:hAnsi="Times New Roman" w:cs="Times New Roman"/>
            <w:sz w:val="26"/>
            <w:szCs w:val="26"/>
          </w:rPr>
          <w:t>част</w:t>
        </w:r>
      </w:hyperlink>
      <w:hyperlink w:anchor="Par181" w:tooltip="Ссылка на текущий документ" w:history="1">
        <w:r w:rsidRPr="008036AD">
          <w:rPr>
            <w:rFonts w:ascii="Times New Roman" w:hAnsi="Times New Roman" w:cs="Times New Roman"/>
            <w:sz w:val="26"/>
            <w:szCs w:val="26"/>
          </w:rPr>
          <w:t>ью</w:t>
        </w:r>
        <w:proofErr w:type="gramEnd"/>
        <w:r w:rsidRPr="008036AD">
          <w:rPr>
            <w:rFonts w:ascii="Times New Roman" w:hAnsi="Times New Roman" w:cs="Times New Roman"/>
            <w:sz w:val="26"/>
            <w:szCs w:val="26"/>
          </w:rPr>
          <w:t xml:space="preserve"> 2.1 статьи 15</w:t>
        </w:r>
      </w:hyperlink>
      <w:r w:rsidRPr="008036AD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44-ФЗ).</w:t>
      </w:r>
    </w:p>
    <w:p w:rsidR="006B3555" w:rsidRPr="008036AD" w:rsidRDefault="006B3555" w:rsidP="006B3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>3. Информация, размещенная в единой информационной системе в сфере закупок.</w:t>
      </w:r>
    </w:p>
    <w:p w:rsidR="006B3555" w:rsidRPr="008036AD" w:rsidRDefault="008036AD" w:rsidP="006B3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>4</w:t>
      </w:r>
      <w:r w:rsidR="006B3555" w:rsidRPr="008036AD">
        <w:rPr>
          <w:rFonts w:ascii="Times New Roman" w:hAnsi="Times New Roman" w:cs="Times New Roman"/>
          <w:sz w:val="26"/>
          <w:szCs w:val="26"/>
        </w:rPr>
        <w:t xml:space="preserve">. Информация о заключенных контрактах за </w:t>
      </w:r>
      <w:r w:rsidR="006B3555" w:rsidRPr="008036A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3555" w:rsidRPr="008036AD">
        <w:rPr>
          <w:rFonts w:ascii="Times New Roman" w:hAnsi="Times New Roman" w:cs="Times New Roman"/>
          <w:sz w:val="26"/>
          <w:szCs w:val="26"/>
        </w:rPr>
        <w:t xml:space="preserve"> полугодие 2018 г</w:t>
      </w:r>
      <w:r w:rsidR="006B3555" w:rsidRPr="008036AD">
        <w:rPr>
          <w:sz w:val="26"/>
          <w:szCs w:val="26"/>
        </w:rPr>
        <w:t>.</w:t>
      </w:r>
      <w:r w:rsidR="006B3555" w:rsidRPr="008036AD">
        <w:rPr>
          <w:rFonts w:ascii="Times New Roman" w:hAnsi="Times New Roman" w:cs="Times New Roman"/>
          <w:sz w:val="26"/>
          <w:szCs w:val="26"/>
        </w:rPr>
        <w:t>, представленная учреждениями города Железногорска.</w:t>
      </w:r>
    </w:p>
    <w:p w:rsidR="006B3555" w:rsidRPr="008036AD" w:rsidRDefault="008036AD" w:rsidP="006B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5</w:t>
      </w:r>
      <w:r w:rsidR="006B3555" w:rsidRPr="008036AD">
        <w:rPr>
          <w:sz w:val="26"/>
          <w:szCs w:val="26"/>
        </w:rPr>
        <w:t>. Иные вопросы в сфере внешнего муниципального финансового контроля, установленные федеральными законами, законами Курской области, Уставом г. Железногорска и нормативными правовыми актами Железногорской городской Думы, относящиеся к полномочиям органа аудита в сфере закупок.</w:t>
      </w:r>
    </w:p>
    <w:p w:rsidR="006B3555" w:rsidRPr="008036AD" w:rsidRDefault="006B3555" w:rsidP="001B69B5">
      <w:pPr>
        <w:ind w:firstLine="708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Цели мероприятия:</w:t>
      </w:r>
    </w:p>
    <w:p w:rsidR="006B3555" w:rsidRPr="008036AD" w:rsidRDefault="006B3555" w:rsidP="0069475C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Сбор и анализ информации о предмете и деятельности объекта аудита (контроля) на системной и регулярной основе в рамках осуществления основных полномочий, определённых частью второй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B3555" w:rsidRPr="008036AD" w:rsidRDefault="006B3555" w:rsidP="006B355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lastRenderedPageBreak/>
        <w:t>2. Анализ заключенных и исполненных контрактов (гражданско-правовых договоров).</w:t>
      </w:r>
    </w:p>
    <w:p w:rsidR="006B3555" w:rsidRPr="008036AD" w:rsidRDefault="006B3555" w:rsidP="006B355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3. Анализ информации о законности, о своевременности и о результативности расходов на закупки.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Объекты мероприятия: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1. Муниципальные органы, муниципальные казенные учреждения, действующие от имени муниципального образования «город Железногорск»,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036AD">
        <w:rPr>
          <w:sz w:val="26"/>
          <w:szCs w:val="26"/>
        </w:rPr>
        <w:t>2. Бюджетные учреждения, муниципальные унитарные предприятия и иные юридические лица, определённые в статье 15 Федерального закона № 44-ФЗ, осуществляющие закупки, в том числе с учётом положений статьи 266.1. Бюджетного кодекса Российской Федерации.</w:t>
      </w:r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b/>
          <w:sz w:val="26"/>
          <w:szCs w:val="26"/>
        </w:rPr>
        <w:t xml:space="preserve">Исследуемый период: </w:t>
      </w:r>
      <w:proofErr w:type="gramStart"/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</w:t>
      </w:r>
      <w:r w:rsidR="00ED4A23" w:rsidRPr="008036AD">
        <w:rPr>
          <w:sz w:val="26"/>
          <w:szCs w:val="26"/>
        </w:rPr>
        <w:t>пол</w:t>
      </w:r>
      <w:r w:rsidRPr="008036AD">
        <w:rPr>
          <w:sz w:val="26"/>
          <w:szCs w:val="26"/>
        </w:rPr>
        <w:t>угодие 2018 г</w:t>
      </w:r>
      <w:r w:rsidR="001B69B5" w:rsidRPr="008036AD">
        <w:rPr>
          <w:sz w:val="26"/>
          <w:szCs w:val="26"/>
        </w:rPr>
        <w:t>ода</w:t>
      </w:r>
      <w:r w:rsidRPr="008036AD">
        <w:rPr>
          <w:sz w:val="26"/>
          <w:szCs w:val="26"/>
        </w:rPr>
        <w:t>.</w:t>
      </w:r>
      <w:proofErr w:type="gramEnd"/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b/>
          <w:sz w:val="26"/>
          <w:szCs w:val="26"/>
        </w:rPr>
        <w:t>Сроки проведения мероприятия:</w:t>
      </w:r>
      <w:r w:rsidRPr="008036AD">
        <w:rPr>
          <w:sz w:val="26"/>
          <w:szCs w:val="26"/>
        </w:rPr>
        <w:t xml:space="preserve"> с 25.0</w:t>
      </w:r>
      <w:r w:rsidR="008A74EC">
        <w:rPr>
          <w:sz w:val="26"/>
          <w:szCs w:val="26"/>
        </w:rPr>
        <w:t>7</w:t>
      </w:r>
      <w:r w:rsidRPr="008036AD">
        <w:rPr>
          <w:sz w:val="26"/>
          <w:szCs w:val="26"/>
        </w:rPr>
        <w:t>.2018 г. по 25.</w:t>
      </w:r>
      <w:r w:rsidR="008A74EC">
        <w:rPr>
          <w:sz w:val="26"/>
          <w:szCs w:val="26"/>
        </w:rPr>
        <w:t>1</w:t>
      </w:r>
      <w:r w:rsidRPr="008036AD">
        <w:rPr>
          <w:sz w:val="26"/>
          <w:szCs w:val="26"/>
        </w:rPr>
        <w:t>0.2018 г.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 xml:space="preserve">Результаты мероприятия: </w:t>
      </w:r>
    </w:p>
    <w:p w:rsidR="006B3555" w:rsidRPr="008036AD" w:rsidRDefault="006B3555" w:rsidP="006B3555">
      <w:pPr>
        <w:ind w:firstLine="709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1. Общая информация</w:t>
      </w:r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Статья 98 Федерального закона № 44-ФЗ предусматривает проведение контрольно-счетными органами аудита в сфере закупок.</w:t>
      </w:r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Аудит закупок представляет собой проверку, анализ и оценку информации о законности, целесообразности, обоснованности, своевременности, эффективности и результ</w:t>
      </w:r>
      <w:bookmarkStart w:id="0" w:name="_GoBack"/>
      <w:bookmarkEnd w:id="0"/>
      <w:r w:rsidRPr="008036AD">
        <w:rPr>
          <w:sz w:val="26"/>
          <w:szCs w:val="26"/>
        </w:rPr>
        <w:t>ативности расходов на закупки по планируемым к заключению, заключенным и исполненным контрактам.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Для анализа использованы следующие информационные источники:</w:t>
      </w:r>
    </w:p>
    <w:p w:rsidR="006B3555" w:rsidRPr="008036AD" w:rsidRDefault="006B3555" w:rsidP="006B3555">
      <w:pPr>
        <w:ind w:firstLine="709"/>
        <w:jc w:val="both"/>
        <w:rPr>
          <w:snapToGrid w:val="0"/>
          <w:sz w:val="26"/>
          <w:szCs w:val="26"/>
        </w:rPr>
      </w:pPr>
      <w:r w:rsidRPr="008036AD">
        <w:rPr>
          <w:sz w:val="26"/>
          <w:szCs w:val="26"/>
        </w:rPr>
        <w:t xml:space="preserve">1) </w:t>
      </w:r>
      <w:r w:rsidRPr="008036AD">
        <w:rPr>
          <w:snapToGrid w:val="0"/>
          <w:sz w:val="26"/>
          <w:szCs w:val="26"/>
        </w:rPr>
        <w:t xml:space="preserve">законодательство о контрактной системе, включая Федеральный закон № 44-ФЗ </w:t>
      </w:r>
      <w:r w:rsidRPr="008036AD">
        <w:rPr>
          <w:sz w:val="26"/>
          <w:szCs w:val="26"/>
          <w:lang w:eastAsia="en-US"/>
        </w:rPr>
        <w:t>и иные нормативные правовые акты о контрактной системе в сфере закупок</w:t>
      </w:r>
      <w:r w:rsidRPr="008036AD">
        <w:rPr>
          <w:snapToGrid w:val="0"/>
          <w:sz w:val="26"/>
          <w:szCs w:val="26"/>
        </w:rPr>
        <w:t xml:space="preserve">, включая нормативные акты органов местного самоуправления муниципального образования город Железногорск; </w:t>
      </w:r>
    </w:p>
    <w:p w:rsidR="006B3555" w:rsidRPr="008036AD" w:rsidRDefault="00C76C2D" w:rsidP="006B35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>2</w:t>
      </w:r>
      <w:r w:rsidR="006B3555" w:rsidRPr="008036AD">
        <w:rPr>
          <w:rFonts w:ascii="Times New Roman" w:hAnsi="Times New Roman" w:cs="Times New Roman"/>
          <w:sz w:val="26"/>
          <w:szCs w:val="26"/>
        </w:rPr>
        <w:t xml:space="preserve">) информация о заключенных контрактах за </w:t>
      </w:r>
      <w:r w:rsidR="006B3555" w:rsidRPr="008036A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B3555" w:rsidRPr="008036AD">
        <w:rPr>
          <w:rFonts w:ascii="Times New Roman" w:hAnsi="Times New Roman" w:cs="Times New Roman"/>
          <w:sz w:val="26"/>
          <w:szCs w:val="26"/>
        </w:rPr>
        <w:t xml:space="preserve"> </w:t>
      </w:r>
      <w:r w:rsidRPr="008036AD">
        <w:rPr>
          <w:rFonts w:ascii="Times New Roman" w:hAnsi="Times New Roman" w:cs="Times New Roman"/>
          <w:sz w:val="26"/>
          <w:szCs w:val="26"/>
        </w:rPr>
        <w:t>полугодие</w:t>
      </w:r>
      <w:r w:rsidR="006B3555" w:rsidRPr="008036AD">
        <w:rPr>
          <w:rFonts w:ascii="Times New Roman" w:hAnsi="Times New Roman" w:cs="Times New Roman"/>
          <w:sz w:val="26"/>
          <w:szCs w:val="26"/>
        </w:rPr>
        <w:t xml:space="preserve"> 2018 г., представленная учреждениями города Железногорска.</w:t>
      </w:r>
    </w:p>
    <w:p w:rsidR="006B3555" w:rsidRPr="008036AD" w:rsidRDefault="006B3555" w:rsidP="006B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36AD">
        <w:rPr>
          <w:sz w:val="26"/>
          <w:szCs w:val="26"/>
        </w:rPr>
        <w:t>Аудит проведен с использованием Стандарта внешнего муниципального финансового контроля СВМФК 5 «Проведение экспертно-аналитического мероприятия «Аудит в сфере закупок товаров, работ, услуг», утвержденного распоряжением председателя Контрольно-счетной палаты города Железногорска от 15.04.2014 г. № 29 и Методики по проведению аудита в сфере закупок, утвержденной распоряжением председателя Контрольно-счетной палаты города Железногорска от 26.12.2014 г. № 96.</w:t>
      </w:r>
      <w:proofErr w:type="gramEnd"/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Отчеты муниципальными заказчиками представляются на основании Порядка составления и представления годовой и квартальной отчетности о закупках товаров, работ, услуг для обеспечения муниципальных нужд, утвержденного распоряжением председателя Контрольно-счетной палаты города Железногорска от 01.04.2016 г. № 31 (в редакции распоряжения от 31.01.2017 г. № 8).</w:t>
      </w:r>
    </w:p>
    <w:p w:rsidR="006B3555" w:rsidRPr="008036AD" w:rsidRDefault="006B3555" w:rsidP="006B3555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Объектами экспертно-аналитического мероприятия являются 75 учреждени</w:t>
      </w:r>
      <w:r w:rsidR="001B69B5" w:rsidRPr="008036AD">
        <w:rPr>
          <w:sz w:val="26"/>
          <w:szCs w:val="26"/>
        </w:rPr>
        <w:t>й</w:t>
      </w:r>
      <w:r w:rsidRPr="008036AD">
        <w:rPr>
          <w:sz w:val="26"/>
          <w:szCs w:val="26"/>
        </w:rPr>
        <w:t xml:space="preserve"> города Железногорска и 8 муниципальных унитарных предприятий. </w:t>
      </w:r>
    </w:p>
    <w:p w:rsidR="006B3555" w:rsidRPr="008036AD" w:rsidRDefault="006B3555" w:rsidP="006B3555">
      <w:pPr>
        <w:ind w:firstLine="709"/>
        <w:contextualSpacing/>
        <w:jc w:val="both"/>
        <w:rPr>
          <w:sz w:val="26"/>
          <w:szCs w:val="26"/>
        </w:rPr>
      </w:pPr>
      <w:r w:rsidRPr="008036AD">
        <w:rPr>
          <w:sz w:val="26"/>
          <w:szCs w:val="26"/>
        </w:rPr>
        <w:lastRenderedPageBreak/>
        <w:t>Следует отметить, что имеются риски представления недостоверной информации объектами аудита в связи с выявляемыми в рамках экспертно-аналитического мероприятия ошибками в сведениях о проведенных</w:t>
      </w:r>
      <w:r w:rsidR="001B69B5" w:rsidRPr="008036AD">
        <w:rPr>
          <w:sz w:val="26"/>
          <w:szCs w:val="26"/>
        </w:rPr>
        <w:t xml:space="preserve"> закупках.</w:t>
      </w:r>
    </w:p>
    <w:p w:rsidR="00C76C2D" w:rsidRPr="008036AD" w:rsidRDefault="00C76C2D" w:rsidP="0069475C">
      <w:pPr>
        <w:pStyle w:val="a6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Закупки товаров, работ, услуг для обеспечения нужд города Железногорска</w:t>
      </w:r>
    </w:p>
    <w:p w:rsidR="00C76C2D" w:rsidRPr="008036AD" w:rsidRDefault="00CB7DDD" w:rsidP="00DA2AB6">
      <w:pPr>
        <w:ind w:firstLine="709"/>
        <w:jc w:val="both"/>
        <w:rPr>
          <w:bCs/>
          <w:sz w:val="26"/>
          <w:szCs w:val="26"/>
          <w:lang w:eastAsia="en-US"/>
        </w:rPr>
      </w:pPr>
      <w:r w:rsidRPr="008036AD">
        <w:rPr>
          <w:sz w:val="26"/>
          <w:szCs w:val="26"/>
        </w:rPr>
        <w:t>Согласно информации, пред</w:t>
      </w:r>
      <w:r w:rsidR="00CC26D1" w:rsidRPr="008036AD">
        <w:rPr>
          <w:sz w:val="26"/>
          <w:szCs w:val="26"/>
        </w:rPr>
        <w:t>ставленной муниципальными уч</w:t>
      </w:r>
      <w:r w:rsidR="001155F0" w:rsidRPr="008036AD">
        <w:rPr>
          <w:sz w:val="26"/>
          <w:szCs w:val="26"/>
        </w:rPr>
        <w:t xml:space="preserve">реждениями </w:t>
      </w:r>
      <w:r w:rsidR="002876AE" w:rsidRPr="008036AD">
        <w:rPr>
          <w:sz w:val="26"/>
          <w:szCs w:val="26"/>
        </w:rPr>
        <w:t xml:space="preserve">и муниципальными унитарными предприятиями </w:t>
      </w:r>
      <w:r w:rsidR="001155F0" w:rsidRPr="008036AD">
        <w:rPr>
          <w:sz w:val="26"/>
          <w:szCs w:val="26"/>
        </w:rPr>
        <w:t>города Железногорска</w:t>
      </w:r>
      <w:r w:rsidR="00CC26D1" w:rsidRPr="008036AD">
        <w:rPr>
          <w:sz w:val="26"/>
          <w:szCs w:val="26"/>
        </w:rPr>
        <w:t xml:space="preserve">, всего за </w:t>
      </w:r>
      <w:r w:rsidR="001B69B5" w:rsidRPr="008036AD">
        <w:rPr>
          <w:sz w:val="26"/>
          <w:szCs w:val="26"/>
          <w:lang w:val="en-US"/>
        </w:rPr>
        <w:t>I</w:t>
      </w:r>
      <w:r w:rsidR="001B69B5" w:rsidRPr="008036AD">
        <w:rPr>
          <w:sz w:val="26"/>
          <w:szCs w:val="26"/>
        </w:rPr>
        <w:t xml:space="preserve"> </w:t>
      </w:r>
      <w:r w:rsidR="006B3555" w:rsidRPr="008036AD">
        <w:rPr>
          <w:sz w:val="26"/>
          <w:szCs w:val="26"/>
        </w:rPr>
        <w:t xml:space="preserve">полугодие </w:t>
      </w:r>
      <w:r w:rsidRPr="008036AD">
        <w:rPr>
          <w:sz w:val="26"/>
          <w:szCs w:val="26"/>
        </w:rPr>
        <w:t>2018 г</w:t>
      </w:r>
      <w:r w:rsidR="001B69B5" w:rsidRPr="008036AD">
        <w:rPr>
          <w:sz w:val="26"/>
          <w:szCs w:val="26"/>
        </w:rPr>
        <w:t>ода</w:t>
      </w:r>
      <w:r w:rsidR="00E16E61" w:rsidRPr="008036AD">
        <w:rPr>
          <w:sz w:val="26"/>
          <w:szCs w:val="26"/>
        </w:rPr>
        <w:t xml:space="preserve"> </w:t>
      </w:r>
      <w:r w:rsidR="00CC26D1" w:rsidRPr="008036AD">
        <w:rPr>
          <w:sz w:val="26"/>
          <w:szCs w:val="26"/>
        </w:rPr>
        <w:t xml:space="preserve">заключено </w:t>
      </w:r>
      <w:r w:rsidR="005D74E9" w:rsidRPr="008036AD">
        <w:rPr>
          <w:sz w:val="26"/>
          <w:szCs w:val="26"/>
        </w:rPr>
        <w:t>30</w:t>
      </w:r>
      <w:r w:rsidR="005C2536" w:rsidRPr="008036AD">
        <w:rPr>
          <w:sz w:val="26"/>
          <w:szCs w:val="26"/>
        </w:rPr>
        <w:t>87</w:t>
      </w:r>
      <w:r w:rsidRPr="008036AD">
        <w:rPr>
          <w:sz w:val="26"/>
          <w:szCs w:val="26"/>
        </w:rPr>
        <w:t xml:space="preserve"> </w:t>
      </w:r>
      <w:r w:rsidR="00E16E61" w:rsidRPr="008036AD">
        <w:rPr>
          <w:sz w:val="26"/>
          <w:szCs w:val="26"/>
        </w:rPr>
        <w:t>муниципальных контрактов</w:t>
      </w:r>
      <w:r w:rsidR="00E5706E" w:rsidRPr="008036AD">
        <w:rPr>
          <w:sz w:val="26"/>
          <w:szCs w:val="26"/>
        </w:rPr>
        <w:t xml:space="preserve"> </w:t>
      </w:r>
      <w:r w:rsidR="00E03E6E" w:rsidRPr="008036AD">
        <w:rPr>
          <w:sz w:val="26"/>
          <w:szCs w:val="26"/>
        </w:rPr>
        <w:t>на</w:t>
      </w:r>
      <w:r w:rsidR="00E16E61" w:rsidRPr="008036AD">
        <w:rPr>
          <w:sz w:val="26"/>
          <w:szCs w:val="26"/>
        </w:rPr>
        <w:t xml:space="preserve"> </w:t>
      </w:r>
      <w:proofErr w:type="gramStart"/>
      <w:r w:rsidR="00E16E61" w:rsidRPr="008036AD">
        <w:rPr>
          <w:sz w:val="26"/>
          <w:szCs w:val="26"/>
        </w:rPr>
        <w:t>общую</w:t>
      </w:r>
      <w:proofErr w:type="gramEnd"/>
      <w:r w:rsidR="00E16E61" w:rsidRPr="008036AD">
        <w:rPr>
          <w:sz w:val="26"/>
          <w:szCs w:val="26"/>
        </w:rPr>
        <w:t xml:space="preserve"> </w:t>
      </w:r>
      <w:r w:rsidR="0050016A" w:rsidRPr="008036AD">
        <w:rPr>
          <w:sz w:val="26"/>
          <w:szCs w:val="26"/>
        </w:rPr>
        <w:t>1397960,7</w:t>
      </w:r>
      <w:r w:rsidR="00CC26D1" w:rsidRPr="008036AD">
        <w:rPr>
          <w:bCs/>
          <w:sz w:val="26"/>
          <w:szCs w:val="26"/>
          <w:lang w:eastAsia="en-US"/>
        </w:rPr>
        <w:t xml:space="preserve"> тыс. рублей</w:t>
      </w:r>
      <w:r w:rsidR="00E03E6E" w:rsidRPr="008036AD">
        <w:rPr>
          <w:bCs/>
          <w:sz w:val="26"/>
          <w:szCs w:val="26"/>
          <w:lang w:eastAsia="en-US"/>
        </w:rPr>
        <w:t>.</w:t>
      </w:r>
      <w:r w:rsidR="005C0D06" w:rsidRPr="008036AD">
        <w:rPr>
          <w:bCs/>
          <w:sz w:val="26"/>
          <w:szCs w:val="26"/>
          <w:lang w:eastAsia="en-US"/>
        </w:rPr>
        <w:t xml:space="preserve"> </w:t>
      </w:r>
    </w:p>
    <w:p w:rsidR="005C0D06" w:rsidRPr="008036AD" w:rsidRDefault="001B69B5" w:rsidP="00DA2AB6">
      <w:pPr>
        <w:ind w:firstLine="709"/>
        <w:jc w:val="both"/>
        <w:rPr>
          <w:bCs/>
          <w:sz w:val="26"/>
          <w:szCs w:val="26"/>
          <w:lang w:eastAsia="en-US"/>
        </w:rPr>
      </w:pPr>
      <w:r w:rsidRPr="008036AD">
        <w:rPr>
          <w:bCs/>
          <w:sz w:val="26"/>
          <w:szCs w:val="26"/>
          <w:lang w:eastAsia="en-US"/>
        </w:rPr>
        <w:t>Сводная информация по указанным контрактам представлена в таблице 1.</w:t>
      </w:r>
    </w:p>
    <w:p w:rsidR="001B69B5" w:rsidRDefault="001B69B5" w:rsidP="001B69B5">
      <w:pPr>
        <w:jc w:val="center"/>
        <w:rPr>
          <w:bCs/>
          <w:sz w:val="28"/>
          <w:szCs w:val="28"/>
          <w:lang w:eastAsia="en-US"/>
        </w:rPr>
      </w:pPr>
    </w:p>
    <w:p w:rsidR="002876AE" w:rsidRPr="008036AD" w:rsidRDefault="001B69B5" w:rsidP="001B69B5">
      <w:pPr>
        <w:jc w:val="center"/>
      </w:pPr>
      <w:r w:rsidRPr="008036AD">
        <w:rPr>
          <w:bCs/>
          <w:lang w:eastAsia="en-US"/>
        </w:rPr>
        <w:t xml:space="preserve">Информация о </w:t>
      </w:r>
      <w:r w:rsidR="002876AE" w:rsidRPr="008036AD">
        <w:rPr>
          <w:bCs/>
          <w:lang w:eastAsia="en-US"/>
        </w:rPr>
        <w:t xml:space="preserve">муниципальных </w:t>
      </w:r>
      <w:r w:rsidRPr="008036AD">
        <w:rPr>
          <w:bCs/>
          <w:lang w:eastAsia="en-US"/>
        </w:rPr>
        <w:t>закупках</w:t>
      </w:r>
      <w:r w:rsidRPr="008036AD">
        <w:t xml:space="preserve"> города Железногорска </w:t>
      </w:r>
    </w:p>
    <w:p w:rsidR="001B69B5" w:rsidRPr="008036AD" w:rsidRDefault="001B69B5" w:rsidP="001B69B5">
      <w:pPr>
        <w:jc w:val="center"/>
        <w:rPr>
          <w:bCs/>
          <w:lang w:eastAsia="en-US"/>
        </w:rPr>
      </w:pPr>
      <w:r w:rsidRPr="008036AD">
        <w:t xml:space="preserve">за </w:t>
      </w:r>
      <w:r w:rsidRPr="008036AD">
        <w:rPr>
          <w:lang w:val="en-US"/>
        </w:rPr>
        <w:t>I</w:t>
      </w:r>
      <w:r w:rsidRPr="008036AD">
        <w:t xml:space="preserve"> полугодие 2018 года</w:t>
      </w:r>
    </w:p>
    <w:p w:rsidR="005C0D06" w:rsidRPr="001B69B5" w:rsidRDefault="005C0D06" w:rsidP="005C0D06">
      <w:pPr>
        <w:ind w:firstLine="709"/>
        <w:jc w:val="right"/>
        <w:rPr>
          <w:sz w:val="22"/>
          <w:szCs w:val="22"/>
        </w:rPr>
      </w:pPr>
      <w:r w:rsidRPr="001B69B5">
        <w:rPr>
          <w:bCs/>
          <w:sz w:val="22"/>
          <w:szCs w:val="22"/>
          <w:lang w:eastAsia="en-US"/>
        </w:rPr>
        <w:t>Таблица 1</w:t>
      </w:r>
    </w:p>
    <w:tbl>
      <w:tblPr>
        <w:tblW w:w="9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24"/>
        <w:gridCol w:w="851"/>
        <w:gridCol w:w="1530"/>
        <w:gridCol w:w="1389"/>
        <w:gridCol w:w="1275"/>
        <w:gridCol w:w="851"/>
      </w:tblGrid>
      <w:tr w:rsidR="00962089" w:rsidRPr="002E14F4" w:rsidTr="001B69B5">
        <w:trPr>
          <w:trHeight w:val="605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Способ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Начальная (макс.) цена контракта,</w:t>
            </w:r>
            <w:r>
              <w:rPr>
                <w:bCs/>
                <w:lang w:eastAsia="en-US"/>
              </w:rPr>
              <w:t xml:space="preserve"> тыс.</w:t>
            </w:r>
            <w:r w:rsidRPr="002E14F4">
              <w:rPr>
                <w:bCs/>
                <w:lang w:eastAsia="en-US"/>
              </w:rPr>
              <w:t xml:space="preserve"> руб.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Цена контракта,</w:t>
            </w:r>
            <w:r>
              <w:rPr>
                <w:bCs/>
                <w:lang w:eastAsia="en-US"/>
              </w:rPr>
              <w:t xml:space="preserve"> тыс.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Исполнено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62089" w:rsidRPr="002E14F4" w:rsidTr="001B69B5">
        <w:trPr>
          <w:trHeight w:val="495"/>
        </w:trPr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1155F0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="00962089">
              <w:rPr>
                <w:bCs/>
                <w:lang w:eastAsia="en-US"/>
              </w:rPr>
              <w:t xml:space="preserve">ыс. </w:t>
            </w:r>
            <w:r w:rsidR="00962089"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4F4">
              <w:rPr>
                <w:b/>
                <w:bCs/>
                <w:lang w:eastAsia="en-US"/>
              </w:rPr>
              <w:t xml:space="preserve">% 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62089" w:rsidRPr="002E14F4" w:rsidTr="001B69B5">
        <w:trPr>
          <w:trHeight w:val="371"/>
        </w:trPr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3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6</w:t>
            </w:r>
          </w:p>
        </w:tc>
      </w:tr>
      <w:tr w:rsidR="00962089" w:rsidRPr="002E14F4" w:rsidTr="001B69B5">
        <w:trPr>
          <w:trHeight w:val="321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Конкурентные закупки</w:t>
            </w:r>
          </w:p>
        </w:tc>
      </w:tr>
      <w:tr w:rsidR="00962089" w:rsidRPr="002E14F4" w:rsidTr="001B69B5">
        <w:trPr>
          <w:trHeight w:val="36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1B69B5">
            <w:pPr>
              <w:spacing w:line="276" w:lineRule="auto"/>
              <w:rPr>
                <w:lang w:eastAsia="en-US"/>
              </w:rPr>
            </w:pPr>
            <w:r w:rsidRPr="002E14F4">
              <w:rPr>
                <w:lang w:eastAsia="en-US"/>
              </w:rPr>
              <w:t>запрос котировок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962089" w:rsidRPr="002E14F4" w:rsidTr="001B69B5">
        <w:trPr>
          <w:trHeight w:val="41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1B69B5">
            <w:pPr>
              <w:spacing w:line="276" w:lineRule="auto"/>
              <w:rPr>
                <w:lang w:eastAsia="en-US"/>
              </w:rPr>
            </w:pPr>
            <w:r w:rsidRPr="002E14F4">
              <w:rPr>
                <w:lang w:eastAsia="en-US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795892,1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597646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377736,3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368DF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368DF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</w:t>
            </w:r>
          </w:p>
        </w:tc>
      </w:tr>
      <w:tr w:rsidR="00962089" w:rsidRPr="002E14F4" w:rsidTr="001B69B5">
        <w:trPr>
          <w:trHeight w:val="41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1B69B5">
            <w:pPr>
              <w:spacing w:line="276" w:lineRule="auto"/>
              <w:rPr>
                <w:lang w:eastAsia="en-US"/>
              </w:rPr>
            </w:pPr>
            <w:r w:rsidRPr="002E14F4">
              <w:rPr>
                <w:lang w:eastAsia="en-US"/>
              </w:rPr>
              <w:t>открытый конкурс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3657C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E32182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86892,8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66A3D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66A3D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66A3D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</w:tr>
      <w:tr w:rsidR="00962089" w:rsidRPr="002E14F4" w:rsidTr="001B69B5">
        <w:trPr>
          <w:trHeight w:val="41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1B69B5">
            <w:pPr>
              <w:spacing w:line="276" w:lineRule="auto"/>
              <w:rPr>
                <w:lang w:eastAsia="en-US"/>
              </w:rPr>
            </w:pPr>
            <w:r w:rsidRPr="002E14F4">
              <w:rPr>
                <w:lang w:eastAsia="en-US"/>
              </w:rPr>
              <w:t>конкурс с ограниченным участием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D66A3D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20979,9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</w:tr>
      <w:tr w:rsidR="00D66A3D" w:rsidRPr="002E14F4" w:rsidTr="001B69B5">
        <w:trPr>
          <w:trHeight w:val="414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Pr="002E14F4" w:rsidRDefault="00D66A3D" w:rsidP="001B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запрос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A3D" w:rsidRDefault="00F12318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962089" w:rsidRPr="002E14F4" w:rsidTr="001B69B5">
        <w:trPr>
          <w:trHeight w:val="421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683A02" w:rsidRDefault="00962089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683A02" w:rsidRDefault="00640D83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159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683A02" w:rsidRDefault="00640D83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911690,1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683A02" w:rsidRDefault="00640D83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415539,7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683A02" w:rsidRDefault="00640D83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134697,4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683A02" w:rsidRDefault="00640D83" w:rsidP="00280FD5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683A02">
              <w:rPr>
                <w:b/>
                <w:bCs/>
                <w:iCs/>
                <w:lang w:eastAsia="en-US"/>
              </w:rPr>
              <w:t>3</w:t>
            </w:r>
            <w:r w:rsidR="00280FD5">
              <w:rPr>
                <w:b/>
                <w:bCs/>
                <w:iCs/>
                <w:lang w:eastAsia="en-US"/>
              </w:rPr>
              <w:t>3</w:t>
            </w:r>
            <w:r w:rsidRPr="00683A02">
              <w:rPr>
                <w:b/>
                <w:bCs/>
                <w:iCs/>
                <w:lang w:eastAsia="en-US"/>
              </w:rPr>
              <w:t>,</w:t>
            </w:r>
            <w:r w:rsidR="00280FD5">
              <w:rPr>
                <w:b/>
                <w:bCs/>
                <w:iCs/>
                <w:lang w:eastAsia="en-US"/>
              </w:rPr>
              <w:t>5</w:t>
            </w:r>
          </w:p>
        </w:tc>
      </w:tr>
      <w:tr w:rsidR="00683A02" w:rsidRPr="002E14F4" w:rsidTr="001B69B5">
        <w:trPr>
          <w:trHeight w:val="421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683A02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70331">
              <w:t>Закупки у единственного поставщика (часть 1 статьи 93)</w:t>
            </w:r>
          </w:p>
        </w:tc>
      </w:tr>
      <w:tr w:rsidR="00683A02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Default="00683A02" w:rsidP="00683A02">
            <w:pPr>
              <w:spacing w:line="276" w:lineRule="auto"/>
            </w:pPr>
            <w:r w:rsidRPr="00170331">
              <w:t>в сфере естественных монополий</w:t>
            </w:r>
          </w:p>
          <w:p w:rsidR="00683A02" w:rsidRPr="00683A02" w:rsidRDefault="00683A02" w:rsidP="00683A02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170331">
              <w:t xml:space="preserve"> (по пункту 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683A02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683A02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2362,7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774,5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33</w:t>
            </w:r>
          </w:p>
        </w:tc>
      </w:tr>
      <w:tr w:rsidR="00683A02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70331" w:rsidRDefault="00683A02" w:rsidP="001B69B5">
            <w:pPr>
              <w:spacing w:line="276" w:lineRule="auto"/>
            </w:pPr>
            <w:r w:rsidRPr="00170331">
              <w:t xml:space="preserve">не </w:t>
            </w:r>
            <w:proofErr w:type="gramStart"/>
            <w:r w:rsidRPr="00170331">
              <w:t>превышающие</w:t>
            </w:r>
            <w:proofErr w:type="gramEnd"/>
            <w:r w:rsidRPr="00170331">
              <w:t xml:space="preserve"> ста тысяч рублей (по пункту 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683A02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683A02">
              <w:rPr>
                <w:bCs/>
                <w:iCs/>
                <w:lang w:eastAsia="en-US"/>
              </w:rPr>
              <w:t>2477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53533,9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41922,9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78,3</w:t>
            </w:r>
          </w:p>
        </w:tc>
      </w:tr>
      <w:tr w:rsidR="00683A02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683A02" w:rsidP="001B69B5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170331">
              <w:t xml:space="preserve">не </w:t>
            </w:r>
            <w:proofErr w:type="gramStart"/>
            <w:r w:rsidRPr="00170331">
              <w:t>превышающие</w:t>
            </w:r>
            <w:proofErr w:type="gramEnd"/>
            <w:r w:rsidRPr="00170331">
              <w:t xml:space="preserve"> четырехсот тысяч рублей (по пункту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683A02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683A02">
              <w:rPr>
                <w:bCs/>
                <w:iCs/>
                <w:lang w:eastAsia="en-US"/>
              </w:rPr>
              <w:t>318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58973,7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49678,8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627CF" w:rsidRDefault="00EA665E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84,2</w:t>
            </w:r>
          </w:p>
        </w:tc>
      </w:tr>
      <w:tr w:rsidR="00683A02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70331" w:rsidRDefault="005E140B" w:rsidP="001B69B5">
            <w:pPr>
              <w:autoSpaceDE w:val="0"/>
              <w:autoSpaceDN w:val="0"/>
              <w:adjustRightInd w:val="0"/>
            </w:pPr>
            <w:r w:rsidRPr="005E140B">
              <w:t xml:space="preserve">закупка работы или услуги, </w:t>
            </w:r>
            <w:r>
              <w:t>в</w:t>
            </w:r>
            <w:r w:rsidRPr="005E140B">
              <w:t xml:space="preserve">ыполнение или оказание которых может осуществляться </w:t>
            </w:r>
            <w:r>
              <w:t>т</w:t>
            </w:r>
            <w:r w:rsidRPr="005E140B">
              <w:t>олько органом исполнительной власти</w:t>
            </w:r>
            <w:r>
              <w:t xml:space="preserve"> </w:t>
            </w:r>
            <w:r w:rsidR="009425A3">
              <w:t>(по пункту 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9425A3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5E140B" w:rsidRDefault="005E140B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E140B">
              <w:rPr>
                <w:bCs/>
                <w:iCs/>
                <w:lang w:eastAsia="en-US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02" w:rsidRPr="001627CF" w:rsidRDefault="00EA665E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88</w:t>
            </w:r>
          </w:p>
        </w:tc>
      </w:tr>
      <w:tr w:rsidR="009425A3" w:rsidRPr="002E14F4" w:rsidTr="001B69B5">
        <w:trPr>
          <w:trHeight w:val="144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Default="009425A3" w:rsidP="009425A3">
            <w:pPr>
              <w:spacing w:line="276" w:lineRule="auto"/>
            </w:pPr>
            <w:r w:rsidRPr="00170331">
              <w:t xml:space="preserve">на оказание услуг по водоснабжению, водоотведению, теплоснабжению, газоснабжению </w:t>
            </w:r>
          </w:p>
          <w:p w:rsidR="009425A3" w:rsidRDefault="009425A3" w:rsidP="009425A3">
            <w:pPr>
              <w:spacing w:line="276" w:lineRule="auto"/>
            </w:pPr>
            <w:r w:rsidRPr="00170331">
              <w:t>(по пункту 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Default="009425A3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66842</w:t>
            </w:r>
            <w:r>
              <w:rPr>
                <w:bCs/>
                <w:iCs/>
                <w:lang w:eastAsia="en-US"/>
              </w:rPr>
              <w:t>1</w:t>
            </w:r>
            <w:r w:rsidRPr="001627CF">
              <w:rPr>
                <w:bCs/>
                <w:iCs/>
                <w:lang w:eastAsia="en-US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445751,4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EA665E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66,7</w:t>
            </w:r>
          </w:p>
        </w:tc>
      </w:tr>
      <w:tr w:rsidR="008036AD" w:rsidRPr="002E14F4" w:rsidTr="00D730AF">
        <w:trPr>
          <w:trHeight w:val="371"/>
        </w:trPr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2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3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6AD" w:rsidRPr="00541669" w:rsidRDefault="008036AD" w:rsidP="00D730A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6</w:t>
            </w:r>
          </w:p>
        </w:tc>
      </w:tr>
      <w:tr w:rsidR="009425A3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70331" w:rsidRDefault="001627CF" w:rsidP="001B69B5">
            <w:pPr>
              <w:autoSpaceDE w:val="0"/>
              <w:autoSpaceDN w:val="0"/>
              <w:adjustRightInd w:val="0"/>
            </w:pPr>
            <w:r w:rsidRPr="001627CF">
              <w:t xml:space="preserve">заключение контракта на оказание услуг по содержанию и ремонту одного или нескольких нежилых помещений, переданных в </w:t>
            </w:r>
            <w:r>
              <w:t>б</w:t>
            </w:r>
            <w:r w:rsidRPr="001627CF">
              <w:t>езвозмездное пользование или оперативное управление</w:t>
            </w:r>
            <w:r w:rsidR="001B69B5">
              <w:t xml:space="preserve"> </w:t>
            </w:r>
            <w:r w:rsidR="009425A3">
              <w:t xml:space="preserve">(по пункту 23)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Default="009425A3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100</w:t>
            </w:r>
          </w:p>
        </w:tc>
      </w:tr>
      <w:tr w:rsidR="009425A3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70331" w:rsidRDefault="009425A3" w:rsidP="009425A3">
            <w:r w:rsidRPr="00170331">
              <w:t xml:space="preserve">договора энергоснабжения </w:t>
            </w:r>
          </w:p>
          <w:p w:rsidR="009425A3" w:rsidRDefault="009425A3" w:rsidP="009425A3">
            <w:pPr>
              <w:spacing w:line="276" w:lineRule="auto"/>
            </w:pPr>
            <w:r w:rsidRPr="00170331">
              <w:t>(по пункту 29)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Default="009425A3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683A02" w:rsidRDefault="0047589D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193870,4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109257,7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EA665E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56,4</w:t>
            </w:r>
          </w:p>
        </w:tc>
      </w:tr>
      <w:tr w:rsidR="009425A3" w:rsidRPr="002E14F4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70331" w:rsidRDefault="009425A3" w:rsidP="009425A3">
            <w:pPr>
              <w:spacing w:line="276" w:lineRule="auto"/>
              <w:rPr>
                <w:bCs/>
              </w:rPr>
            </w:pPr>
            <w:r w:rsidRPr="00170331">
              <w:rPr>
                <w:bCs/>
              </w:rPr>
              <w:t xml:space="preserve">Несостоявшиеся закупки </w:t>
            </w:r>
          </w:p>
          <w:p w:rsidR="009425A3" w:rsidRPr="00170331" w:rsidRDefault="009425A3" w:rsidP="009425A3">
            <w:r w:rsidRPr="00170331">
              <w:rPr>
                <w:bCs/>
              </w:rPr>
              <w:t>(по пункту 25)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Default="009425A3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47589D" w:rsidRDefault="0047589D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7589D">
              <w:rPr>
                <w:bCs/>
                <w:iCs/>
                <w:lang w:eastAsia="en-US"/>
              </w:rPr>
              <w:t>4937,1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4937,1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4937,1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5A3" w:rsidRPr="001627CF" w:rsidRDefault="001627CF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1627CF">
              <w:rPr>
                <w:bCs/>
                <w:iCs/>
                <w:lang w:eastAsia="en-US"/>
              </w:rPr>
              <w:t>100</w:t>
            </w:r>
          </w:p>
        </w:tc>
      </w:tr>
      <w:tr w:rsidR="005C2536" w:rsidRPr="005C2536" w:rsidTr="001B69B5">
        <w:trPr>
          <w:trHeight w:val="421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5C2536" w:rsidP="009425A3">
            <w:pPr>
              <w:spacing w:line="276" w:lineRule="auto"/>
              <w:rPr>
                <w:b/>
                <w:bCs/>
              </w:rPr>
            </w:pPr>
            <w:r w:rsidRPr="005C2536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5C2536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2928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50016A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4937,1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50016A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982421,0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50016A" w:rsidP="0053174E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652623,4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36" w:rsidRPr="005C2536" w:rsidRDefault="00B45576" w:rsidP="00280FD5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66,</w:t>
            </w:r>
            <w:r w:rsidR="00280FD5">
              <w:rPr>
                <w:b/>
                <w:bCs/>
                <w:iCs/>
                <w:lang w:eastAsia="en-US"/>
              </w:rPr>
              <w:t>5</w:t>
            </w:r>
          </w:p>
        </w:tc>
      </w:tr>
    </w:tbl>
    <w:p w:rsidR="001B69B5" w:rsidRDefault="001B69B5" w:rsidP="00DA2AB6">
      <w:pPr>
        <w:ind w:firstLine="709"/>
        <w:jc w:val="both"/>
        <w:rPr>
          <w:sz w:val="28"/>
          <w:szCs w:val="28"/>
        </w:rPr>
      </w:pPr>
    </w:p>
    <w:p w:rsidR="00DA2AB6" w:rsidRPr="008036AD" w:rsidRDefault="00DA2AB6" w:rsidP="00DA2AB6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Всего за </w:t>
      </w:r>
      <w:r w:rsidR="00B423A6" w:rsidRPr="008036AD">
        <w:rPr>
          <w:sz w:val="26"/>
          <w:szCs w:val="26"/>
          <w:lang w:val="en-US"/>
        </w:rPr>
        <w:t>I</w:t>
      </w:r>
      <w:r w:rsidR="00B423A6" w:rsidRPr="008036AD">
        <w:rPr>
          <w:sz w:val="26"/>
          <w:szCs w:val="26"/>
        </w:rPr>
        <w:t xml:space="preserve"> </w:t>
      </w:r>
      <w:r w:rsidR="005D74E9" w:rsidRPr="008036AD">
        <w:rPr>
          <w:sz w:val="26"/>
          <w:szCs w:val="26"/>
        </w:rPr>
        <w:t>полугодие</w:t>
      </w:r>
      <w:r w:rsidR="00B423A6" w:rsidRPr="008036AD">
        <w:rPr>
          <w:sz w:val="26"/>
          <w:szCs w:val="26"/>
        </w:rPr>
        <w:t xml:space="preserve"> 2018 г</w:t>
      </w:r>
      <w:r w:rsidR="001B69B5" w:rsidRPr="008036AD">
        <w:rPr>
          <w:sz w:val="26"/>
          <w:szCs w:val="26"/>
        </w:rPr>
        <w:t>ода</w:t>
      </w:r>
      <w:r w:rsidRPr="008036AD">
        <w:rPr>
          <w:sz w:val="26"/>
          <w:szCs w:val="26"/>
        </w:rPr>
        <w:t xml:space="preserve"> осуществлено:</w:t>
      </w:r>
    </w:p>
    <w:p w:rsidR="00DA2AB6" w:rsidRPr="008036AD" w:rsidRDefault="00DA2AB6" w:rsidP="00DA2AB6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</w:t>
      </w:r>
      <w:r w:rsidR="00640D83" w:rsidRPr="008036AD">
        <w:rPr>
          <w:sz w:val="26"/>
          <w:szCs w:val="26"/>
        </w:rPr>
        <w:t>159</w:t>
      </w:r>
      <w:r w:rsidRPr="008036AD">
        <w:rPr>
          <w:sz w:val="26"/>
          <w:szCs w:val="26"/>
        </w:rPr>
        <w:t xml:space="preserve"> закуп</w:t>
      </w:r>
      <w:r w:rsidR="00640D83" w:rsidRPr="008036AD">
        <w:rPr>
          <w:sz w:val="26"/>
          <w:szCs w:val="26"/>
        </w:rPr>
        <w:t>ок</w:t>
      </w:r>
      <w:r w:rsidRPr="008036AD">
        <w:rPr>
          <w:sz w:val="26"/>
          <w:szCs w:val="26"/>
        </w:rPr>
        <w:t xml:space="preserve"> - конкурентными способами определения поставщиков на общую сумму </w:t>
      </w:r>
      <w:r w:rsidR="00B91B90" w:rsidRPr="008036AD">
        <w:rPr>
          <w:bCs/>
          <w:iCs/>
          <w:sz w:val="26"/>
          <w:szCs w:val="26"/>
          <w:lang w:eastAsia="en-US"/>
        </w:rPr>
        <w:t>415539,7</w:t>
      </w:r>
      <w:r w:rsidR="00B91B90" w:rsidRPr="008036AD">
        <w:rPr>
          <w:b/>
          <w:bCs/>
          <w:iCs/>
          <w:sz w:val="26"/>
          <w:szCs w:val="26"/>
          <w:lang w:eastAsia="en-US"/>
        </w:rPr>
        <w:t xml:space="preserve"> </w:t>
      </w:r>
      <w:r w:rsidRPr="008036AD">
        <w:rPr>
          <w:sz w:val="26"/>
          <w:szCs w:val="26"/>
        </w:rPr>
        <w:t>тыс. рублей, что составляет</w:t>
      </w:r>
      <w:r w:rsidR="00280FD5" w:rsidRPr="008036AD">
        <w:rPr>
          <w:sz w:val="26"/>
          <w:szCs w:val="26"/>
        </w:rPr>
        <w:t xml:space="preserve"> </w:t>
      </w:r>
      <w:r w:rsidR="00B91B90" w:rsidRPr="008036AD">
        <w:rPr>
          <w:sz w:val="26"/>
          <w:szCs w:val="26"/>
        </w:rPr>
        <w:t>30</w:t>
      </w:r>
      <w:r w:rsidRPr="008036AD">
        <w:rPr>
          <w:sz w:val="26"/>
          <w:szCs w:val="26"/>
        </w:rPr>
        <w:t xml:space="preserve"> </w:t>
      </w:r>
      <w:r w:rsidR="001B69B5" w:rsidRPr="008036AD">
        <w:rPr>
          <w:sz w:val="26"/>
          <w:szCs w:val="26"/>
        </w:rPr>
        <w:t>процентов</w:t>
      </w:r>
      <w:r w:rsidRPr="008036AD">
        <w:rPr>
          <w:sz w:val="26"/>
          <w:szCs w:val="26"/>
        </w:rPr>
        <w:t xml:space="preserve"> от вс</w:t>
      </w:r>
      <w:r w:rsidR="001B69B5" w:rsidRPr="008036AD">
        <w:rPr>
          <w:sz w:val="26"/>
          <w:szCs w:val="26"/>
        </w:rPr>
        <w:t>ей суммы заключенных контрактов;</w:t>
      </w:r>
    </w:p>
    <w:p w:rsidR="00DA2AB6" w:rsidRPr="008036AD" w:rsidRDefault="00DA2AB6" w:rsidP="00044F30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</w:t>
      </w:r>
      <w:r w:rsidR="00280FD5" w:rsidRPr="008036AD">
        <w:rPr>
          <w:sz w:val="26"/>
          <w:szCs w:val="26"/>
        </w:rPr>
        <w:t>2928</w:t>
      </w:r>
      <w:r w:rsidRPr="008036AD">
        <w:rPr>
          <w:sz w:val="26"/>
          <w:szCs w:val="26"/>
        </w:rPr>
        <w:t xml:space="preserve"> закупок – у единственного поставщика на </w:t>
      </w:r>
      <w:r w:rsidR="001B69B5" w:rsidRPr="008036AD">
        <w:rPr>
          <w:sz w:val="26"/>
          <w:szCs w:val="26"/>
        </w:rPr>
        <w:t xml:space="preserve">общую </w:t>
      </w:r>
      <w:r w:rsidRPr="008036AD">
        <w:rPr>
          <w:sz w:val="26"/>
          <w:szCs w:val="26"/>
        </w:rPr>
        <w:t xml:space="preserve">сумму </w:t>
      </w:r>
      <w:r w:rsidR="00280FD5" w:rsidRPr="008036AD">
        <w:rPr>
          <w:sz w:val="26"/>
          <w:szCs w:val="26"/>
        </w:rPr>
        <w:t>982421,0</w:t>
      </w:r>
      <w:r w:rsidRPr="008036AD">
        <w:rPr>
          <w:sz w:val="26"/>
          <w:szCs w:val="26"/>
        </w:rPr>
        <w:t xml:space="preserve"> тыс. рублей или </w:t>
      </w:r>
      <w:r w:rsidR="00B91B90" w:rsidRPr="008036AD">
        <w:rPr>
          <w:sz w:val="26"/>
          <w:szCs w:val="26"/>
        </w:rPr>
        <w:t xml:space="preserve">70 </w:t>
      </w:r>
      <w:r w:rsidR="001B69B5" w:rsidRPr="008036AD">
        <w:rPr>
          <w:sz w:val="26"/>
          <w:szCs w:val="26"/>
        </w:rPr>
        <w:t>процентов</w:t>
      </w:r>
      <w:r w:rsidRPr="008036AD">
        <w:rPr>
          <w:sz w:val="26"/>
          <w:szCs w:val="26"/>
        </w:rPr>
        <w:t xml:space="preserve"> от общей суммы заключенных контрактов.</w:t>
      </w:r>
    </w:p>
    <w:p w:rsidR="00547440" w:rsidRPr="008036AD" w:rsidRDefault="00547440" w:rsidP="00547440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8036AD">
        <w:rPr>
          <w:sz w:val="26"/>
          <w:szCs w:val="26"/>
        </w:rPr>
        <w:t>Следует отметить, что наибольшую часть (</w:t>
      </w:r>
      <w:r w:rsidR="009E7A9F" w:rsidRPr="008036AD">
        <w:rPr>
          <w:sz w:val="26"/>
          <w:szCs w:val="26"/>
        </w:rPr>
        <w:t>87,3</w:t>
      </w:r>
      <w:r w:rsidRPr="008036AD">
        <w:rPr>
          <w:sz w:val="26"/>
          <w:szCs w:val="26"/>
        </w:rPr>
        <w:t>%) в доле начальной максимальной цены контракта</w:t>
      </w:r>
      <w:r w:rsidR="001B69B5" w:rsidRPr="008036AD">
        <w:rPr>
          <w:sz w:val="26"/>
          <w:szCs w:val="26"/>
        </w:rPr>
        <w:t xml:space="preserve"> (далее – НМЦК)</w:t>
      </w:r>
      <w:r w:rsidRPr="008036AD">
        <w:rPr>
          <w:sz w:val="26"/>
          <w:szCs w:val="26"/>
        </w:rPr>
        <w:t xml:space="preserve"> по электронным аукционам занимает сумма НМЦК по контракту, заключенному между </w:t>
      </w:r>
      <w:r w:rsidRPr="008036AD">
        <w:rPr>
          <w:rFonts w:eastAsia="Calibri"/>
          <w:sz w:val="26"/>
          <w:szCs w:val="26"/>
          <w:lang w:eastAsia="en-US"/>
        </w:rPr>
        <w:t>МКУ «Дирекция по организации строительства и реконструкции объектов муниципальной собственности» города Железногорска (далее – Дирекция по строительству) и ООО «</w:t>
      </w:r>
      <w:proofErr w:type="spellStart"/>
      <w:r w:rsidRPr="008036AD">
        <w:rPr>
          <w:rFonts w:eastAsia="Calibri"/>
          <w:sz w:val="26"/>
          <w:szCs w:val="26"/>
          <w:lang w:eastAsia="en-US"/>
        </w:rPr>
        <w:t>СтройМастерЛюкс</w:t>
      </w:r>
      <w:proofErr w:type="spellEnd"/>
      <w:r w:rsidRPr="008036AD">
        <w:rPr>
          <w:rFonts w:eastAsia="Calibri"/>
          <w:sz w:val="26"/>
          <w:szCs w:val="26"/>
          <w:lang w:eastAsia="en-US"/>
        </w:rPr>
        <w:t xml:space="preserve">», предметом которого является выполнение работы </w:t>
      </w:r>
      <w:r w:rsidRPr="008036AD">
        <w:rPr>
          <w:spacing w:val="-2"/>
          <w:sz w:val="26"/>
          <w:szCs w:val="26"/>
          <w:lang w:eastAsia="en-US"/>
        </w:rPr>
        <w:t>по строительству объекта капитального строительства «Средняя общеобразовательная школа в городе Железногорске Курской</w:t>
      </w:r>
      <w:proofErr w:type="gramEnd"/>
      <w:r w:rsidRPr="008036AD">
        <w:rPr>
          <w:spacing w:val="-2"/>
          <w:sz w:val="26"/>
          <w:szCs w:val="26"/>
          <w:lang w:eastAsia="en-US"/>
        </w:rPr>
        <w:t xml:space="preserve"> области, Микрорайон № 13» (муниципальный контракт от 18.12.2017 г</w:t>
      </w:r>
      <w:r w:rsidR="0011280F" w:rsidRPr="008036AD">
        <w:rPr>
          <w:spacing w:val="-2"/>
          <w:sz w:val="26"/>
          <w:szCs w:val="26"/>
          <w:lang w:eastAsia="en-US"/>
        </w:rPr>
        <w:t>.</w:t>
      </w:r>
      <w:r w:rsidRPr="008036AD">
        <w:rPr>
          <w:spacing w:val="-2"/>
          <w:sz w:val="26"/>
          <w:szCs w:val="26"/>
          <w:lang w:eastAsia="en-US"/>
        </w:rPr>
        <w:t xml:space="preserve">№ 40) (согласно информации, размещенной на официальном сайте </w:t>
      </w:r>
      <w:hyperlink r:id="rId10" w:history="1">
        <w:r w:rsidRPr="008036AD">
          <w:rPr>
            <w:rStyle w:val="a5"/>
            <w:spacing w:val="-2"/>
            <w:sz w:val="26"/>
            <w:szCs w:val="26"/>
            <w:lang w:eastAsia="en-US"/>
          </w:rPr>
          <w:t>http://zakupki.gov.ru/</w:t>
        </w:r>
      </w:hyperlink>
      <w:r w:rsidRPr="008036AD">
        <w:rPr>
          <w:spacing w:val="-2"/>
          <w:sz w:val="26"/>
          <w:szCs w:val="26"/>
          <w:lang w:eastAsia="en-US"/>
        </w:rPr>
        <w:t xml:space="preserve">). </w:t>
      </w:r>
    </w:p>
    <w:p w:rsidR="00017145" w:rsidRPr="008036AD" w:rsidRDefault="00DA2AB6" w:rsidP="000171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Доля неконкурентных закупок в общем объеме</w:t>
      </w:r>
      <w:r w:rsidR="000E4925" w:rsidRPr="008036AD">
        <w:rPr>
          <w:sz w:val="26"/>
          <w:szCs w:val="26"/>
        </w:rPr>
        <w:t xml:space="preserve"> неконкурентных</w:t>
      </w:r>
      <w:r w:rsidRPr="008036AD">
        <w:rPr>
          <w:sz w:val="26"/>
          <w:szCs w:val="26"/>
        </w:rPr>
        <w:t xml:space="preserve"> закупок в порядке убывания составляет</w:t>
      </w:r>
      <w:r w:rsidR="00B06195" w:rsidRPr="008036AD">
        <w:rPr>
          <w:sz w:val="26"/>
          <w:szCs w:val="26"/>
        </w:rPr>
        <w:t xml:space="preserve"> (по сумме контрактов)</w:t>
      </w:r>
      <w:r w:rsidRPr="008036AD">
        <w:rPr>
          <w:sz w:val="26"/>
          <w:szCs w:val="26"/>
        </w:rPr>
        <w:t xml:space="preserve">: </w:t>
      </w:r>
    </w:p>
    <w:p w:rsidR="00017145" w:rsidRPr="008036AD" w:rsidRDefault="00017145" w:rsidP="000171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- 68 </w:t>
      </w:r>
      <w:r w:rsidR="0056474B" w:rsidRPr="008036AD">
        <w:rPr>
          <w:sz w:val="26"/>
          <w:szCs w:val="26"/>
        </w:rPr>
        <w:t>процентов</w:t>
      </w:r>
      <w:r w:rsidRPr="008036AD">
        <w:rPr>
          <w:sz w:val="26"/>
          <w:szCs w:val="26"/>
        </w:rPr>
        <w:t xml:space="preserve"> в соответствии с пунктом 8 части 1 статьи 93 Федерального закона № 44-ФЗ;</w:t>
      </w:r>
    </w:p>
    <w:p w:rsidR="00C456AE" w:rsidRPr="008036AD" w:rsidRDefault="00C456AE" w:rsidP="000171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6AD">
        <w:rPr>
          <w:rFonts w:ascii="Times New Roman" w:hAnsi="Times New Roman" w:cs="Times New Roman"/>
          <w:sz w:val="26"/>
          <w:szCs w:val="26"/>
        </w:rPr>
        <w:t xml:space="preserve">- </w:t>
      </w:r>
      <w:r w:rsidR="00017145" w:rsidRPr="008036AD">
        <w:rPr>
          <w:rFonts w:ascii="Times New Roman" w:eastAsia="Calibri" w:hAnsi="Times New Roman" w:cs="Times New Roman"/>
          <w:sz w:val="26"/>
          <w:szCs w:val="26"/>
          <w:lang w:eastAsia="en-US"/>
        </w:rPr>
        <w:t>19,7</w:t>
      </w:r>
      <w:r w:rsidRPr="008036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6474B" w:rsidRPr="008036AD">
        <w:rPr>
          <w:rFonts w:ascii="Times New Roman" w:eastAsia="Calibri" w:hAnsi="Times New Roman" w:cs="Times New Roman"/>
          <w:sz w:val="26"/>
          <w:szCs w:val="26"/>
          <w:lang w:eastAsia="en-US"/>
        </w:rPr>
        <w:t>процентов</w:t>
      </w:r>
      <w:r w:rsidRPr="008036A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пунктом 29 части 1 статьи 93 Федерального закона № 44-ФЗ;</w:t>
      </w:r>
    </w:p>
    <w:p w:rsidR="003815BC" w:rsidRPr="008036AD" w:rsidRDefault="003815BC" w:rsidP="00C456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</w:t>
      </w:r>
      <w:r w:rsidR="00017145" w:rsidRPr="008036AD">
        <w:rPr>
          <w:sz w:val="26"/>
          <w:szCs w:val="26"/>
        </w:rPr>
        <w:t xml:space="preserve">6 </w:t>
      </w:r>
      <w:r w:rsidR="0056474B" w:rsidRPr="008036AD">
        <w:rPr>
          <w:sz w:val="26"/>
          <w:szCs w:val="26"/>
        </w:rPr>
        <w:t>процентов</w:t>
      </w:r>
      <w:r w:rsidRPr="008036AD">
        <w:rPr>
          <w:sz w:val="26"/>
          <w:szCs w:val="26"/>
        </w:rPr>
        <w:t xml:space="preserve"> в соответствии с пунктом 5 части 1 статьи 93 Федерального закона № 44-ФЗ;</w:t>
      </w:r>
    </w:p>
    <w:p w:rsidR="00DA2AB6" w:rsidRPr="008036AD" w:rsidRDefault="00DA2AB6" w:rsidP="00C456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</w:t>
      </w:r>
      <w:r w:rsidR="00017145" w:rsidRPr="008036AD">
        <w:rPr>
          <w:sz w:val="26"/>
          <w:szCs w:val="26"/>
        </w:rPr>
        <w:t>5,5</w:t>
      </w:r>
      <w:r w:rsidRPr="008036AD">
        <w:rPr>
          <w:sz w:val="26"/>
          <w:szCs w:val="26"/>
        </w:rPr>
        <w:t xml:space="preserve"> </w:t>
      </w:r>
      <w:r w:rsidR="0056474B" w:rsidRPr="008036AD">
        <w:rPr>
          <w:sz w:val="26"/>
          <w:szCs w:val="26"/>
        </w:rPr>
        <w:t>процентов</w:t>
      </w:r>
      <w:r w:rsidRPr="008036AD">
        <w:rPr>
          <w:sz w:val="26"/>
          <w:szCs w:val="26"/>
        </w:rPr>
        <w:t xml:space="preserve"> в соответствии с пунктом 4 части 1 статьи 93 Федерального закона № 44-ФЗ</w:t>
      </w:r>
      <w:r w:rsidR="00C456AE" w:rsidRPr="008036AD">
        <w:rPr>
          <w:sz w:val="26"/>
          <w:szCs w:val="26"/>
        </w:rPr>
        <w:t>.</w:t>
      </w:r>
    </w:p>
    <w:p w:rsidR="005C05F5" w:rsidRPr="008036AD" w:rsidRDefault="005C05F5" w:rsidP="00611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Исполнение по состоянию на 01.07.2018 года по конкурентным закупкам составило от 6,6 процентов до 65 процентов.</w:t>
      </w:r>
    </w:p>
    <w:p w:rsidR="005C05F5" w:rsidRPr="008036AD" w:rsidRDefault="005C05F5" w:rsidP="005C0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Исполнение по состоянию на 01.07.2018 года по конкурентным закупкам составило от </w:t>
      </w:r>
      <w:r w:rsidRPr="008036AD">
        <w:rPr>
          <w:sz w:val="26"/>
          <w:szCs w:val="26"/>
        </w:rPr>
        <w:t>33</w:t>
      </w:r>
      <w:r w:rsidRPr="008036AD">
        <w:rPr>
          <w:sz w:val="26"/>
          <w:szCs w:val="26"/>
        </w:rPr>
        <w:t xml:space="preserve"> процентов до </w:t>
      </w:r>
      <w:r w:rsidRPr="008036AD">
        <w:rPr>
          <w:sz w:val="26"/>
          <w:szCs w:val="26"/>
        </w:rPr>
        <w:t>100</w:t>
      </w:r>
      <w:r w:rsidRPr="008036AD">
        <w:rPr>
          <w:sz w:val="26"/>
          <w:szCs w:val="26"/>
        </w:rPr>
        <w:t xml:space="preserve"> процентов.</w:t>
      </w:r>
    </w:p>
    <w:p w:rsidR="00611205" w:rsidRPr="008036AD" w:rsidRDefault="00C456AE" w:rsidP="006112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Наименьшее количество в процентном соотношении занимают закупки в соответствии с пунктами </w:t>
      </w:r>
      <w:r w:rsidR="00017145" w:rsidRPr="008036AD">
        <w:rPr>
          <w:sz w:val="26"/>
          <w:szCs w:val="26"/>
        </w:rPr>
        <w:t>6</w:t>
      </w:r>
      <w:r w:rsidRPr="008036AD">
        <w:rPr>
          <w:sz w:val="26"/>
          <w:szCs w:val="26"/>
        </w:rPr>
        <w:t xml:space="preserve"> части 1 статьи 93 Федерального закона № 44-ФЗ и 2</w:t>
      </w:r>
      <w:r w:rsidR="00017145" w:rsidRPr="008036AD">
        <w:rPr>
          <w:sz w:val="26"/>
          <w:szCs w:val="26"/>
        </w:rPr>
        <w:t>3</w:t>
      </w:r>
      <w:r w:rsidRPr="008036AD">
        <w:rPr>
          <w:sz w:val="26"/>
          <w:szCs w:val="26"/>
        </w:rPr>
        <w:t xml:space="preserve"> части 1 статьи 93 Федерального закона № 44-ФЗ</w:t>
      </w:r>
      <w:r w:rsidR="00017145" w:rsidRPr="008036AD">
        <w:rPr>
          <w:sz w:val="26"/>
          <w:szCs w:val="26"/>
        </w:rPr>
        <w:t>.</w:t>
      </w:r>
      <w:r w:rsidRPr="008036AD">
        <w:rPr>
          <w:sz w:val="26"/>
          <w:szCs w:val="26"/>
        </w:rPr>
        <w:t xml:space="preserve"> </w:t>
      </w:r>
    </w:p>
    <w:p w:rsidR="0056474B" w:rsidRPr="008036AD" w:rsidRDefault="00052A6B" w:rsidP="00052A6B">
      <w:pPr>
        <w:ind w:firstLine="709"/>
        <w:jc w:val="both"/>
        <w:rPr>
          <w:sz w:val="26"/>
          <w:szCs w:val="26"/>
        </w:rPr>
      </w:pPr>
      <w:r w:rsidRPr="008036AD">
        <w:rPr>
          <w:color w:val="000000"/>
          <w:sz w:val="26"/>
          <w:szCs w:val="26"/>
        </w:rPr>
        <w:lastRenderedPageBreak/>
        <w:t xml:space="preserve">В </w:t>
      </w:r>
      <w:r w:rsidRPr="008036AD">
        <w:rPr>
          <w:color w:val="000000"/>
          <w:sz w:val="26"/>
          <w:szCs w:val="26"/>
          <w:lang w:val="en-US"/>
        </w:rPr>
        <w:t>I</w:t>
      </w:r>
      <w:r w:rsidRPr="008036AD">
        <w:rPr>
          <w:color w:val="000000"/>
          <w:sz w:val="26"/>
          <w:szCs w:val="26"/>
        </w:rPr>
        <w:t xml:space="preserve"> </w:t>
      </w:r>
      <w:r w:rsidR="00017145" w:rsidRPr="008036AD">
        <w:rPr>
          <w:color w:val="000000"/>
          <w:sz w:val="26"/>
          <w:szCs w:val="26"/>
        </w:rPr>
        <w:t>полугоди</w:t>
      </w:r>
      <w:r w:rsidR="0056474B" w:rsidRPr="008036AD">
        <w:rPr>
          <w:color w:val="000000"/>
          <w:sz w:val="26"/>
          <w:szCs w:val="26"/>
        </w:rPr>
        <w:t>и</w:t>
      </w:r>
      <w:r w:rsidRPr="008036AD">
        <w:rPr>
          <w:color w:val="000000"/>
          <w:sz w:val="26"/>
          <w:szCs w:val="26"/>
        </w:rPr>
        <w:t xml:space="preserve"> 2018 г</w:t>
      </w:r>
      <w:r w:rsidR="0056474B" w:rsidRPr="008036AD">
        <w:rPr>
          <w:color w:val="000000"/>
          <w:sz w:val="26"/>
          <w:szCs w:val="26"/>
        </w:rPr>
        <w:t>ода</w:t>
      </w:r>
      <w:r w:rsidRPr="008036AD">
        <w:rPr>
          <w:color w:val="000000"/>
          <w:sz w:val="26"/>
          <w:szCs w:val="26"/>
        </w:rPr>
        <w:t xml:space="preserve"> муниципальными учреждениями осуществлялись закупки по 1</w:t>
      </w:r>
      <w:r w:rsidR="003B27EE" w:rsidRPr="008036AD">
        <w:rPr>
          <w:color w:val="000000"/>
          <w:sz w:val="26"/>
          <w:szCs w:val="26"/>
        </w:rPr>
        <w:t>3</w:t>
      </w:r>
      <w:r w:rsidR="001155F0" w:rsidRPr="008036AD">
        <w:rPr>
          <w:color w:val="000000"/>
          <w:sz w:val="26"/>
          <w:szCs w:val="26"/>
        </w:rPr>
        <w:t xml:space="preserve"> муниципальным программам из 16</w:t>
      </w:r>
      <w:r w:rsidR="00017145" w:rsidRPr="008036AD">
        <w:rPr>
          <w:color w:val="000000"/>
          <w:sz w:val="26"/>
          <w:szCs w:val="26"/>
        </w:rPr>
        <w:t>.</w:t>
      </w:r>
      <w:r w:rsidR="001155F0" w:rsidRPr="008036AD">
        <w:rPr>
          <w:color w:val="000000"/>
          <w:sz w:val="26"/>
          <w:szCs w:val="26"/>
        </w:rPr>
        <w:t xml:space="preserve"> </w:t>
      </w:r>
      <w:r w:rsidRPr="008036AD">
        <w:rPr>
          <w:sz w:val="26"/>
          <w:szCs w:val="26"/>
        </w:rPr>
        <w:t>И</w:t>
      </w:r>
      <w:r w:rsidR="00962089" w:rsidRPr="008036AD">
        <w:rPr>
          <w:sz w:val="26"/>
          <w:szCs w:val="26"/>
        </w:rPr>
        <w:t xml:space="preserve">сполнение контрактов, заключенных в рамках муниципальных программ за </w:t>
      </w:r>
      <w:r w:rsidR="00962089" w:rsidRPr="008036AD">
        <w:rPr>
          <w:sz w:val="26"/>
          <w:szCs w:val="26"/>
          <w:lang w:val="en-US"/>
        </w:rPr>
        <w:t>I</w:t>
      </w:r>
      <w:r w:rsidR="00962089" w:rsidRPr="008036AD">
        <w:rPr>
          <w:sz w:val="26"/>
          <w:szCs w:val="26"/>
        </w:rPr>
        <w:t xml:space="preserve"> </w:t>
      </w:r>
      <w:r w:rsidR="0054506A" w:rsidRPr="008036AD">
        <w:rPr>
          <w:sz w:val="26"/>
          <w:szCs w:val="26"/>
        </w:rPr>
        <w:t>полугодие</w:t>
      </w:r>
      <w:r w:rsidR="00962089" w:rsidRPr="008036AD">
        <w:rPr>
          <w:sz w:val="26"/>
          <w:szCs w:val="26"/>
        </w:rPr>
        <w:t xml:space="preserve"> 2018 года со</w:t>
      </w:r>
      <w:r w:rsidR="00726791" w:rsidRPr="008036AD">
        <w:rPr>
          <w:sz w:val="26"/>
          <w:szCs w:val="26"/>
        </w:rPr>
        <w:t xml:space="preserve">ставляет </w:t>
      </w:r>
      <w:r w:rsidR="00D826FD" w:rsidRPr="008036AD">
        <w:rPr>
          <w:sz w:val="26"/>
          <w:szCs w:val="26"/>
        </w:rPr>
        <w:t xml:space="preserve">201374,5 </w:t>
      </w:r>
      <w:r w:rsidR="00726791" w:rsidRPr="008036AD">
        <w:rPr>
          <w:sz w:val="26"/>
          <w:szCs w:val="26"/>
        </w:rPr>
        <w:t>тыс. рублей.</w:t>
      </w:r>
      <w:r w:rsidR="00C33BF0" w:rsidRPr="008036AD">
        <w:rPr>
          <w:sz w:val="26"/>
          <w:szCs w:val="26"/>
        </w:rPr>
        <w:t xml:space="preserve"> </w:t>
      </w:r>
    </w:p>
    <w:p w:rsidR="00611205" w:rsidRPr="008036AD" w:rsidRDefault="00C33BF0" w:rsidP="00052A6B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Наибольшая сумма исполнения по </w:t>
      </w:r>
      <w:r w:rsidR="0056474B" w:rsidRPr="008036AD">
        <w:rPr>
          <w:sz w:val="26"/>
          <w:szCs w:val="26"/>
        </w:rPr>
        <w:t xml:space="preserve">муниципальной </w:t>
      </w:r>
      <w:r w:rsidRPr="008036AD">
        <w:rPr>
          <w:sz w:val="26"/>
          <w:szCs w:val="26"/>
        </w:rPr>
        <w:t xml:space="preserve">программе «Развитие образования города Железногорска» - </w:t>
      </w:r>
      <w:r w:rsidR="00D826FD" w:rsidRPr="008036AD">
        <w:rPr>
          <w:sz w:val="26"/>
          <w:szCs w:val="26"/>
        </w:rPr>
        <w:t xml:space="preserve">186892,5 </w:t>
      </w:r>
      <w:r w:rsidRPr="008036AD">
        <w:rPr>
          <w:sz w:val="26"/>
          <w:szCs w:val="26"/>
        </w:rPr>
        <w:t xml:space="preserve">тыс. рублей, наименьшая – «Сохранение и развитие архивного дела в городе Железногорске», </w:t>
      </w:r>
      <w:proofErr w:type="gramStart"/>
      <w:r w:rsidRPr="008036AD">
        <w:rPr>
          <w:sz w:val="26"/>
          <w:szCs w:val="26"/>
        </w:rPr>
        <w:t>сумма</w:t>
      </w:r>
      <w:proofErr w:type="gramEnd"/>
      <w:r w:rsidRPr="008036AD">
        <w:rPr>
          <w:sz w:val="26"/>
          <w:szCs w:val="26"/>
        </w:rPr>
        <w:t xml:space="preserve"> исполнения по </w:t>
      </w:r>
      <w:proofErr w:type="gramStart"/>
      <w:r w:rsidRPr="008036AD">
        <w:rPr>
          <w:sz w:val="26"/>
          <w:szCs w:val="26"/>
        </w:rPr>
        <w:t>которой</w:t>
      </w:r>
      <w:proofErr w:type="gramEnd"/>
      <w:r w:rsidRPr="008036AD">
        <w:rPr>
          <w:sz w:val="26"/>
          <w:szCs w:val="26"/>
        </w:rPr>
        <w:t xml:space="preserve"> состав</w:t>
      </w:r>
      <w:r w:rsidR="0056474B" w:rsidRPr="008036AD">
        <w:rPr>
          <w:sz w:val="26"/>
          <w:szCs w:val="26"/>
        </w:rPr>
        <w:t>ила</w:t>
      </w:r>
      <w:r w:rsidRPr="008036AD">
        <w:rPr>
          <w:sz w:val="26"/>
          <w:szCs w:val="26"/>
        </w:rPr>
        <w:t xml:space="preserve"> </w:t>
      </w:r>
      <w:r w:rsidR="00D826FD" w:rsidRPr="008036AD">
        <w:rPr>
          <w:sz w:val="26"/>
          <w:szCs w:val="26"/>
        </w:rPr>
        <w:t>3,5</w:t>
      </w:r>
      <w:r w:rsidRPr="008036AD">
        <w:rPr>
          <w:sz w:val="26"/>
          <w:szCs w:val="26"/>
        </w:rPr>
        <w:t xml:space="preserve"> тыс. рублей.</w:t>
      </w:r>
    </w:p>
    <w:p w:rsidR="0056474B" w:rsidRPr="008036AD" w:rsidRDefault="0056474B" w:rsidP="00052A6B">
      <w:pPr>
        <w:ind w:firstLine="709"/>
        <w:jc w:val="both"/>
        <w:rPr>
          <w:color w:val="000000"/>
          <w:sz w:val="26"/>
          <w:szCs w:val="26"/>
        </w:rPr>
      </w:pPr>
      <w:r w:rsidRPr="008036AD">
        <w:rPr>
          <w:color w:val="000000"/>
          <w:sz w:val="26"/>
          <w:szCs w:val="26"/>
        </w:rPr>
        <w:t>Пять преимущественных поставщиков (подрядчиков, исполнителей) по количеству заключенных муниципальных контрактов представлены в таблице 2.</w:t>
      </w:r>
    </w:p>
    <w:p w:rsidR="00726791" w:rsidRPr="0056474B" w:rsidRDefault="00726791" w:rsidP="00726791">
      <w:pPr>
        <w:ind w:firstLine="709"/>
        <w:jc w:val="right"/>
        <w:rPr>
          <w:sz w:val="22"/>
          <w:szCs w:val="22"/>
        </w:rPr>
      </w:pPr>
      <w:r w:rsidRPr="0056474B">
        <w:rPr>
          <w:sz w:val="22"/>
          <w:szCs w:val="22"/>
        </w:rPr>
        <w:t xml:space="preserve">Таблица </w:t>
      </w:r>
      <w:r w:rsidR="00052A6B" w:rsidRPr="0056474B">
        <w:rPr>
          <w:sz w:val="22"/>
          <w:szCs w:val="22"/>
        </w:rPr>
        <w:t>2</w:t>
      </w:r>
    </w:p>
    <w:p w:rsidR="0056474B" w:rsidRPr="008036AD" w:rsidRDefault="00D424F2" w:rsidP="0056474B">
      <w:pPr>
        <w:jc w:val="center"/>
      </w:pPr>
      <w:r w:rsidRPr="008036AD">
        <w:t xml:space="preserve">Преимущественные поставщики (подрядчики, исполнители) в сфере закупок по количеству муниципальных контрактов </w:t>
      </w:r>
    </w:p>
    <w:p w:rsidR="00D424F2" w:rsidRDefault="00D424F2" w:rsidP="0056474B">
      <w:pPr>
        <w:jc w:val="center"/>
        <w:rPr>
          <w:lang w:val="en-US"/>
        </w:rPr>
      </w:pPr>
      <w:r w:rsidRPr="008036AD">
        <w:t xml:space="preserve">за </w:t>
      </w:r>
      <w:r w:rsidRPr="008036AD">
        <w:rPr>
          <w:lang w:val="en-US"/>
        </w:rPr>
        <w:t>I</w:t>
      </w:r>
      <w:r w:rsidRPr="008036AD">
        <w:t xml:space="preserve"> </w:t>
      </w:r>
      <w:r w:rsidR="00D826FD" w:rsidRPr="008036AD">
        <w:t xml:space="preserve">полугодие </w:t>
      </w:r>
      <w:r w:rsidRPr="008036AD">
        <w:t>2018 года</w:t>
      </w:r>
    </w:p>
    <w:p w:rsidR="008036AD" w:rsidRPr="008036AD" w:rsidRDefault="008036AD" w:rsidP="0056474B">
      <w:pPr>
        <w:jc w:val="center"/>
        <w:rPr>
          <w:lang w:val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115"/>
        <w:gridCol w:w="1608"/>
        <w:gridCol w:w="2041"/>
      </w:tblGrid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контрагента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контрактов, 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кол-ве контрактов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«Комбинат питания учащихся»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C171B5" w:rsidRDefault="00034E59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034E59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E" w:rsidRPr="00C171B5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080C00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034E59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080C00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0" w:rsidRPr="00C171B5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Pr="00080C00" w:rsidRDefault="00080C00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«София»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Pr="008F32AE" w:rsidRDefault="00034E59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</w:tr>
      <w:tr w:rsidR="00080C00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0" w:rsidRPr="00C171B5" w:rsidRDefault="0056474B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Default="00080C00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«Ростелеком»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Default="00080C00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Default="00034E59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424F2" w:rsidRDefault="00D424F2" w:rsidP="00C456AE">
      <w:pPr>
        <w:ind w:firstLine="540"/>
        <w:jc w:val="both"/>
        <w:rPr>
          <w:sz w:val="28"/>
          <w:szCs w:val="28"/>
        </w:rPr>
      </w:pPr>
    </w:p>
    <w:p w:rsidR="00D424F2" w:rsidRPr="008036AD" w:rsidRDefault="00D424F2" w:rsidP="00C456AE">
      <w:pPr>
        <w:ind w:firstLine="540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Из представленных в таблице </w:t>
      </w:r>
      <w:r w:rsidR="0039723A" w:rsidRPr="008036AD">
        <w:rPr>
          <w:sz w:val="26"/>
          <w:szCs w:val="26"/>
        </w:rPr>
        <w:t>2</w:t>
      </w:r>
      <w:r w:rsidRPr="008036AD">
        <w:rPr>
          <w:sz w:val="26"/>
          <w:szCs w:val="26"/>
        </w:rPr>
        <w:t xml:space="preserve"> данных следует, что </w:t>
      </w:r>
      <w:r w:rsidR="00200D0B" w:rsidRPr="008036AD">
        <w:rPr>
          <w:sz w:val="26"/>
          <w:szCs w:val="26"/>
        </w:rPr>
        <w:t xml:space="preserve">Заказчики в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</w:t>
      </w:r>
      <w:r w:rsidR="00200D0B" w:rsidRPr="008036AD">
        <w:rPr>
          <w:sz w:val="26"/>
          <w:szCs w:val="26"/>
        </w:rPr>
        <w:t>полугоди</w:t>
      </w:r>
      <w:r w:rsidR="0056474B" w:rsidRPr="008036AD">
        <w:rPr>
          <w:sz w:val="26"/>
          <w:szCs w:val="26"/>
        </w:rPr>
        <w:t>и</w:t>
      </w:r>
      <w:r w:rsidR="00200D0B" w:rsidRPr="008036AD">
        <w:rPr>
          <w:sz w:val="26"/>
          <w:szCs w:val="26"/>
        </w:rPr>
        <w:t xml:space="preserve"> </w:t>
      </w:r>
      <w:r w:rsidRPr="008036AD">
        <w:rPr>
          <w:sz w:val="26"/>
          <w:szCs w:val="26"/>
        </w:rPr>
        <w:t>2018 г</w:t>
      </w:r>
      <w:r w:rsidR="0056474B" w:rsidRPr="008036AD">
        <w:rPr>
          <w:sz w:val="26"/>
          <w:szCs w:val="26"/>
        </w:rPr>
        <w:t>ода</w:t>
      </w:r>
      <w:r w:rsidRPr="008036AD">
        <w:rPr>
          <w:sz w:val="26"/>
          <w:szCs w:val="26"/>
        </w:rPr>
        <w:t xml:space="preserve"> заключали контракты преимущественно с ООО «Комбинат питания учащихся». Общая сумма заключенных за исследуемый период контрактов состав</w:t>
      </w:r>
      <w:r w:rsidR="0056474B" w:rsidRPr="008036AD">
        <w:rPr>
          <w:sz w:val="26"/>
          <w:szCs w:val="26"/>
        </w:rPr>
        <w:t>ила</w:t>
      </w:r>
      <w:r w:rsidRPr="008036AD">
        <w:rPr>
          <w:sz w:val="26"/>
          <w:szCs w:val="26"/>
        </w:rPr>
        <w:t xml:space="preserve"> </w:t>
      </w:r>
      <w:r w:rsidR="00200D0B" w:rsidRPr="008036AD">
        <w:rPr>
          <w:sz w:val="26"/>
          <w:szCs w:val="26"/>
        </w:rPr>
        <w:t>46</w:t>
      </w:r>
      <w:r w:rsidRPr="008036AD">
        <w:rPr>
          <w:sz w:val="26"/>
          <w:szCs w:val="26"/>
        </w:rPr>
        <w:t> 0</w:t>
      </w:r>
      <w:r w:rsidR="00200D0B" w:rsidRPr="008036AD">
        <w:rPr>
          <w:sz w:val="26"/>
          <w:szCs w:val="26"/>
        </w:rPr>
        <w:t>29</w:t>
      </w:r>
      <w:r w:rsidRPr="008036AD">
        <w:rPr>
          <w:sz w:val="26"/>
          <w:szCs w:val="26"/>
        </w:rPr>
        <w:t xml:space="preserve">, </w:t>
      </w:r>
      <w:r w:rsidR="00200D0B" w:rsidRPr="008036AD">
        <w:rPr>
          <w:sz w:val="26"/>
          <w:szCs w:val="26"/>
        </w:rPr>
        <w:t>3</w:t>
      </w:r>
      <w:r w:rsidRPr="008036AD">
        <w:rPr>
          <w:sz w:val="26"/>
          <w:szCs w:val="26"/>
        </w:rPr>
        <w:t xml:space="preserve"> тыс. рублей.</w:t>
      </w:r>
    </w:p>
    <w:p w:rsidR="0056474B" w:rsidRPr="008036AD" w:rsidRDefault="0056474B" w:rsidP="0056474B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Топ-рейтинг пяти п</w:t>
      </w:r>
      <w:r w:rsidRPr="008036AD">
        <w:rPr>
          <w:sz w:val="26"/>
          <w:szCs w:val="26"/>
        </w:rPr>
        <w:t>реимущественны</w:t>
      </w:r>
      <w:r w:rsidRPr="008036AD">
        <w:rPr>
          <w:sz w:val="26"/>
          <w:szCs w:val="26"/>
        </w:rPr>
        <w:t>х</w:t>
      </w:r>
      <w:r w:rsidRPr="008036AD">
        <w:rPr>
          <w:sz w:val="26"/>
          <w:szCs w:val="26"/>
        </w:rPr>
        <w:t xml:space="preserve"> поставщик</w:t>
      </w:r>
      <w:r w:rsidRPr="008036AD">
        <w:rPr>
          <w:sz w:val="26"/>
          <w:szCs w:val="26"/>
        </w:rPr>
        <w:t>ов</w:t>
      </w:r>
      <w:r w:rsidRPr="008036AD">
        <w:rPr>
          <w:sz w:val="26"/>
          <w:szCs w:val="26"/>
        </w:rPr>
        <w:t xml:space="preserve"> (подрядчик</w:t>
      </w:r>
      <w:r w:rsidRPr="008036AD">
        <w:rPr>
          <w:sz w:val="26"/>
          <w:szCs w:val="26"/>
        </w:rPr>
        <w:t>ов, исполнителей</w:t>
      </w:r>
      <w:r w:rsidRPr="008036AD">
        <w:rPr>
          <w:sz w:val="26"/>
          <w:szCs w:val="26"/>
        </w:rPr>
        <w:t xml:space="preserve">) в сфере закупок по общей сумме муниципальных контрактов за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полугодие 2018 года</w:t>
      </w:r>
      <w:r w:rsidRPr="008036AD">
        <w:rPr>
          <w:sz w:val="26"/>
          <w:szCs w:val="26"/>
        </w:rPr>
        <w:t xml:space="preserve"> представлен в таблице 3.</w:t>
      </w:r>
    </w:p>
    <w:p w:rsidR="00D424F2" w:rsidRPr="008036AD" w:rsidRDefault="00034E59" w:rsidP="0056474B">
      <w:pPr>
        <w:ind w:firstLine="7655"/>
        <w:jc w:val="right"/>
      </w:pPr>
      <w:r w:rsidRPr="008036AD">
        <w:t>Таблица 3</w:t>
      </w:r>
    </w:p>
    <w:p w:rsidR="00034E59" w:rsidRPr="008036AD" w:rsidRDefault="00034E59" w:rsidP="00D424F2">
      <w:pPr>
        <w:ind w:firstLine="709"/>
        <w:jc w:val="center"/>
        <w:rPr>
          <w:sz w:val="20"/>
          <w:szCs w:val="20"/>
        </w:rPr>
      </w:pPr>
    </w:p>
    <w:p w:rsidR="0056474B" w:rsidRPr="008036AD" w:rsidRDefault="00D424F2" w:rsidP="00D424F2">
      <w:pPr>
        <w:ind w:firstLine="709"/>
        <w:jc w:val="center"/>
        <w:rPr>
          <w:sz w:val="26"/>
          <w:szCs w:val="26"/>
        </w:rPr>
      </w:pPr>
      <w:r w:rsidRPr="008036AD">
        <w:rPr>
          <w:sz w:val="26"/>
          <w:szCs w:val="26"/>
        </w:rPr>
        <w:t xml:space="preserve">Преимущественные поставщики (подрядчики, исполнители) в сфере закупок по общей сумме муниципальных контрактов </w:t>
      </w:r>
    </w:p>
    <w:p w:rsidR="00D424F2" w:rsidRPr="008036AD" w:rsidRDefault="00D424F2" w:rsidP="00D424F2">
      <w:pPr>
        <w:ind w:firstLine="709"/>
        <w:jc w:val="center"/>
        <w:rPr>
          <w:sz w:val="26"/>
          <w:szCs w:val="26"/>
        </w:rPr>
      </w:pPr>
      <w:r w:rsidRPr="008036AD">
        <w:rPr>
          <w:sz w:val="26"/>
          <w:szCs w:val="26"/>
        </w:rPr>
        <w:t xml:space="preserve">за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</w:t>
      </w:r>
      <w:r w:rsidR="004F5F53" w:rsidRPr="008036AD">
        <w:rPr>
          <w:sz w:val="26"/>
          <w:szCs w:val="26"/>
        </w:rPr>
        <w:t>полугодие</w:t>
      </w:r>
      <w:r w:rsidRPr="008036AD">
        <w:rPr>
          <w:sz w:val="26"/>
          <w:szCs w:val="26"/>
        </w:rPr>
        <w:t xml:space="preserve"> 2018 года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4016"/>
        <w:gridCol w:w="1701"/>
        <w:gridCol w:w="1923"/>
      </w:tblGrid>
      <w:tr w:rsidR="00D424F2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Контрагент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36AD">
              <w:rPr>
                <w:rFonts w:ascii="Times New Roman" w:hAnsi="Times New Roman" w:cs="Times New Roman"/>
                <w:lang w:eastAsia="en-US"/>
              </w:rPr>
              <w:t>Общая цена</w:t>
            </w:r>
          </w:p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36AD">
              <w:rPr>
                <w:rFonts w:ascii="Times New Roman" w:hAnsi="Times New Roman" w:cs="Times New Roman"/>
                <w:lang w:eastAsia="en-US"/>
              </w:rPr>
              <w:t>контрактов</w:t>
            </w:r>
          </w:p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36AD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36AD">
              <w:rPr>
                <w:rFonts w:ascii="Times New Roman" w:hAnsi="Times New Roman" w:cs="Times New Roman"/>
                <w:lang w:eastAsia="en-US"/>
              </w:rPr>
              <w:t>Удельный вес</w:t>
            </w:r>
          </w:p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36AD">
              <w:rPr>
                <w:rFonts w:ascii="Times New Roman" w:hAnsi="Times New Roman" w:cs="Times New Roman"/>
                <w:lang w:eastAsia="en-US"/>
              </w:rPr>
              <w:t>к общей цене заключенных контрактов</w:t>
            </w:r>
          </w:p>
        </w:tc>
      </w:tr>
      <w:tr w:rsidR="00080C00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0" w:rsidRPr="008036AD" w:rsidRDefault="00080C00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Pr="008036AD" w:rsidRDefault="00080C00" w:rsidP="004C61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 «Газпром </w:t>
            </w:r>
            <w:proofErr w:type="spellStart"/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Межрегион</w:t>
            </w:r>
            <w:proofErr w:type="spellEnd"/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Курск»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0" w:rsidRPr="008036AD" w:rsidRDefault="00080C00" w:rsidP="00080C00">
            <w:pPr>
              <w:jc w:val="center"/>
              <w:rPr>
                <w:sz w:val="26"/>
                <w:szCs w:val="26"/>
                <w:lang w:eastAsia="en-US"/>
              </w:rPr>
            </w:pPr>
            <w:r w:rsidRPr="008036AD">
              <w:rPr>
                <w:sz w:val="26"/>
                <w:szCs w:val="26"/>
                <w:lang w:eastAsia="en-US"/>
              </w:rPr>
              <w:t>599 064, 4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0" w:rsidRPr="008036AD" w:rsidRDefault="000A6B66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</w:t>
            </w:r>
          </w:p>
        </w:tc>
      </w:tr>
      <w:tr w:rsidR="00D424F2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8036AD" w:rsidRDefault="00D424F2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СтройМастерЛюкс</w:t>
            </w:r>
            <w:proofErr w:type="spellEnd"/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8036AD" w:rsidRDefault="00080C00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302</w:t>
            </w:r>
            <w:r w:rsidR="0041726D"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973,6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8036AD" w:rsidRDefault="000A6B66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21,6</w:t>
            </w:r>
          </w:p>
        </w:tc>
      </w:tr>
      <w:tr w:rsidR="0041726D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«РЭК»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108442,3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873CBF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7,8</w:t>
            </w:r>
          </w:p>
        </w:tc>
      </w:tr>
      <w:tr w:rsidR="0041726D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"МРСК"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85000,0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873CBF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41726D" w:rsidRPr="008036AD" w:rsidTr="0041726D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«Комбинат питания учащихся»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6D" w:rsidRPr="008036AD" w:rsidRDefault="0041726D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46029,3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6D" w:rsidRPr="008036AD" w:rsidRDefault="00873CBF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036A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3,2</w:t>
            </w:r>
          </w:p>
        </w:tc>
      </w:tr>
    </w:tbl>
    <w:p w:rsidR="0056474B" w:rsidRPr="008036AD" w:rsidRDefault="0056474B" w:rsidP="00BB7C04">
      <w:pPr>
        <w:ind w:firstLine="709"/>
        <w:jc w:val="both"/>
        <w:rPr>
          <w:sz w:val="26"/>
          <w:szCs w:val="26"/>
        </w:rPr>
      </w:pPr>
    </w:p>
    <w:p w:rsidR="00D424F2" w:rsidRPr="008036AD" w:rsidRDefault="00D424F2" w:rsidP="00BB7C04">
      <w:pPr>
        <w:ind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lastRenderedPageBreak/>
        <w:t xml:space="preserve">Из приведенных в таблице </w:t>
      </w:r>
      <w:r w:rsidR="0039723A" w:rsidRPr="008036AD">
        <w:rPr>
          <w:sz w:val="26"/>
          <w:szCs w:val="26"/>
        </w:rPr>
        <w:t>3</w:t>
      </w:r>
      <w:r w:rsidRPr="008036AD">
        <w:rPr>
          <w:sz w:val="26"/>
          <w:szCs w:val="26"/>
        </w:rPr>
        <w:t xml:space="preserve"> данных можно сделать </w:t>
      </w:r>
      <w:r w:rsidR="004C61D8" w:rsidRPr="008036AD">
        <w:rPr>
          <w:sz w:val="26"/>
          <w:szCs w:val="26"/>
        </w:rPr>
        <w:t>вывод о</w:t>
      </w:r>
      <w:r w:rsidRPr="008036AD">
        <w:rPr>
          <w:sz w:val="26"/>
          <w:szCs w:val="26"/>
        </w:rPr>
        <w:t xml:space="preserve"> том, что в анализируемом периоде наибольшую долю</w:t>
      </w:r>
      <w:r w:rsidR="0039723A" w:rsidRPr="008036AD">
        <w:rPr>
          <w:sz w:val="26"/>
          <w:szCs w:val="26"/>
        </w:rPr>
        <w:t xml:space="preserve"> по</w:t>
      </w:r>
      <w:r w:rsidRPr="008036AD">
        <w:rPr>
          <w:sz w:val="26"/>
          <w:szCs w:val="26"/>
        </w:rPr>
        <w:t xml:space="preserve"> исследуемому критерию занимают контракты, заключенные с ООО </w:t>
      </w:r>
      <w:r w:rsidR="004C61D8" w:rsidRPr="008036AD">
        <w:rPr>
          <w:sz w:val="26"/>
          <w:szCs w:val="26"/>
        </w:rPr>
        <w:t xml:space="preserve">«Газпром </w:t>
      </w:r>
      <w:proofErr w:type="spellStart"/>
      <w:r w:rsidR="004C61D8" w:rsidRPr="008036AD">
        <w:rPr>
          <w:sz w:val="26"/>
          <w:szCs w:val="26"/>
        </w:rPr>
        <w:t>Межрегион</w:t>
      </w:r>
      <w:proofErr w:type="spellEnd"/>
      <w:r w:rsidR="004C61D8" w:rsidRPr="008036AD">
        <w:rPr>
          <w:sz w:val="26"/>
          <w:szCs w:val="26"/>
        </w:rPr>
        <w:t xml:space="preserve"> Курск» </w:t>
      </w:r>
      <w:r w:rsidRPr="008036AD">
        <w:rPr>
          <w:sz w:val="26"/>
          <w:szCs w:val="26"/>
        </w:rPr>
        <w:t xml:space="preserve">- </w:t>
      </w:r>
      <w:r w:rsidR="00873CBF" w:rsidRPr="008036AD">
        <w:rPr>
          <w:sz w:val="26"/>
          <w:szCs w:val="26"/>
        </w:rPr>
        <w:t>43</w:t>
      </w:r>
      <w:r w:rsidRPr="008036AD">
        <w:rPr>
          <w:sz w:val="26"/>
          <w:szCs w:val="26"/>
        </w:rPr>
        <w:t xml:space="preserve"> </w:t>
      </w:r>
      <w:r w:rsidR="0056474B" w:rsidRPr="008036AD">
        <w:rPr>
          <w:sz w:val="26"/>
          <w:szCs w:val="26"/>
        </w:rPr>
        <w:t>процента</w:t>
      </w:r>
      <w:r w:rsidR="0039723A" w:rsidRPr="008036AD">
        <w:rPr>
          <w:sz w:val="26"/>
          <w:szCs w:val="26"/>
        </w:rPr>
        <w:t>.</w:t>
      </w:r>
    </w:p>
    <w:p w:rsidR="00DD5F29" w:rsidRPr="008036AD" w:rsidRDefault="00DD5F29" w:rsidP="0069475C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 xml:space="preserve">Нарушения Федерального закона № 44-ФЗ, выявленные при проведении контрольных мероприятий в </w:t>
      </w:r>
      <w:r w:rsidRPr="008036AD">
        <w:rPr>
          <w:b/>
          <w:sz w:val="26"/>
          <w:szCs w:val="26"/>
          <w:lang w:val="en-US"/>
        </w:rPr>
        <w:t>I</w:t>
      </w:r>
      <w:r w:rsidRPr="008036AD">
        <w:rPr>
          <w:b/>
          <w:sz w:val="26"/>
          <w:szCs w:val="26"/>
        </w:rPr>
        <w:t xml:space="preserve"> полугоди</w:t>
      </w:r>
      <w:r w:rsidR="002876AE" w:rsidRPr="008036AD">
        <w:rPr>
          <w:b/>
          <w:sz w:val="26"/>
          <w:szCs w:val="26"/>
        </w:rPr>
        <w:t>и</w:t>
      </w:r>
      <w:r w:rsidRPr="008036AD">
        <w:rPr>
          <w:b/>
          <w:sz w:val="26"/>
          <w:szCs w:val="26"/>
        </w:rPr>
        <w:t xml:space="preserve"> 2018 года</w:t>
      </w:r>
    </w:p>
    <w:p w:rsidR="00BB7C04" w:rsidRPr="008036AD" w:rsidRDefault="00F4535D" w:rsidP="0069475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В ходе проверки выбора способа закупки и обоснования цен контрактов в одном учреждение установлены признаки дробления закупки на общую сумму </w:t>
      </w:r>
      <w:r w:rsidR="00BB7C04" w:rsidRPr="008036AD">
        <w:rPr>
          <w:sz w:val="26"/>
          <w:szCs w:val="26"/>
        </w:rPr>
        <w:t>400</w:t>
      </w:r>
      <w:r w:rsidRPr="008036AD">
        <w:rPr>
          <w:sz w:val="26"/>
          <w:szCs w:val="26"/>
        </w:rPr>
        <w:t xml:space="preserve"> тыс. рублей. Ненадлежащий способ определения поставщика носит признаки административного правонарушения, предусмотренного ч</w:t>
      </w:r>
      <w:r w:rsidR="00DC2623" w:rsidRPr="008036AD">
        <w:rPr>
          <w:sz w:val="26"/>
          <w:szCs w:val="26"/>
        </w:rPr>
        <w:t>астями</w:t>
      </w:r>
      <w:r w:rsidRPr="008036AD">
        <w:rPr>
          <w:sz w:val="26"/>
          <w:szCs w:val="26"/>
        </w:rPr>
        <w:t xml:space="preserve"> 1, 2 статьи 7.29 КоАП РФ. </w:t>
      </w:r>
    </w:p>
    <w:p w:rsidR="00BB7C04" w:rsidRPr="008036AD" w:rsidRDefault="00BB7C04" w:rsidP="0069475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Два </w:t>
      </w:r>
      <w:r w:rsidR="00F4535D" w:rsidRPr="008036AD">
        <w:rPr>
          <w:sz w:val="26"/>
          <w:szCs w:val="26"/>
        </w:rPr>
        <w:t>учреждени</w:t>
      </w:r>
      <w:r w:rsidRPr="008036AD">
        <w:rPr>
          <w:sz w:val="26"/>
          <w:szCs w:val="26"/>
        </w:rPr>
        <w:t>я</w:t>
      </w:r>
      <w:r w:rsidR="00F4535D" w:rsidRPr="008036AD">
        <w:rPr>
          <w:sz w:val="26"/>
          <w:szCs w:val="26"/>
        </w:rPr>
        <w:t xml:space="preserve"> заключили муниципальные контракты, применяемые к отношениям</w:t>
      </w:r>
      <w:r w:rsidRPr="008036AD">
        <w:rPr>
          <w:sz w:val="26"/>
          <w:szCs w:val="26"/>
        </w:rPr>
        <w:t>, возникшим до их заключения на общую сумму 490,1 тыс. рублей.</w:t>
      </w:r>
    </w:p>
    <w:p w:rsidR="00BB7C04" w:rsidRPr="008036AD" w:rsidRDefault="00BB7C04" w:rsidP="0069475C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В нарушение части 1 статьи 23 </w:t>
      </w:r>
      <w:r w:rsidR="00DC2623" w:rsidRPr="008036AD">
        <w:rPr>
          <w:sz w:val="26"/>
          <w:szCs w:val="26"/>
        </w:rPr>
        <w:t>Федерального з</w:t>
      </w:r>
      <w:r w:rsidRPr="008036AD">
        <w:rPr>
          <w:sz w:val="26"/>
          <w:szCs w:val="26"/>
        </w:rPr>
        <w:t>акона № 44-ФЗ в муниципальных контрактах</w:t>
      </w:r>
      <w:r w:rsidR="00CA25C1" w:rsidRPr="008036AD">
        <w:rPr>
          <w:sz w:val="26"/>
          <w:szCs w:val="26"/>
        </w:rPr>
        <w:t xml:space="preserve"> двух учреждений </w:t>
      </w:r>
      <w:r w:rsidRPr="008036AD">
        <w:rPr>
          <w:sz w:val="26"/>
          <w:szCs w:val="26"/>
        </w:rPr>
        <w:t xml:space="preserve">не указан </w:t>
      </w:r>
      <w:r w:rsidR="00DC2623" w:rsidRPr="008036AD">
        <w:rPr>
          <w:sz w:val="26"/>
          <w:szCs w:val="26"/>
        </w:rPr>
        <w:t>индивидуальный код закупки</w:t>
      </w:r>
      <w:r w:rsidRPr="008036AD">
        <w:rPr>
          <w:sz w:val="26"/>
          <w:szCs w:val="26"/>
        </w:rPr>
        <w:t xml:space="preserve">. Сумма нарушений </w:t>
      </w:r>
      <w:r w:rsidR="00DC2623" w:rsidRPr="008036AD">
        <w:rPr>
          <w:sz w:val="26"/>
          <w:szCs w:val="26"/>
        </w:rPr>
        <w:t xml:space="preserve">- </w:t>
      </w:r>
      <w:r w:rsidR="00CA25C1" w:rsidRPr="008036AD">
        <w:rPr>
          <w:sz w:val="26"/>
          <w:szCs w:val="26"/>
        </w:rPr>
        <w:t>165</w:t>
      </w:r>
      <w:r w:rsidR="00E75176" w:rsidRPr="008036AD">
        <w:rPr>
          <w:sz w:val="26"/>
          <w:szCs w:val="26"/>
        </w:rPr>
        <w:t xml:space="preserve"> тыс. </w:t>
      </w:r>
      <w:r w:rsidRPr="008036AD">
        <w:rPr>
          <w:sz w:val="26"/>
          <w:szCs w:val="26"/>
        </w:rPr>
        <w:t>руб.</w:t>
      </w:r>
    </w:p>
    <w:p w:rsidR="00CA25C1" w:rsidRPr="008036AD" w:rsidRDefault="00970E75" w:rsidP="006947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В нарушение части 2 статьи 34 Федерального закона № 44-ФЗ в </w:t>
      </w:r>
      <w:r w:rsidR="00DC2623" w:rsidRPr="008036AD">
        <w:rPr>
          <w:sz w:val="26"/>
          <w:szCs w:val="26"/>
        </w:rPr>
        <w:t xml:space="preserve">трех </w:t>
      </w:r>
      <w:r w:rsidRPr="008036AD">
        <w:rPr>
          <w:sz w:val="26"/>
          <w:szCs w:val="26"/>
        </w:rPr>
        <w:t>учреждениях в контрактах не включены обязательные условия, такие как: цена контракта является твердой и определяется на весь срок исполнения контракта.</w:t>
      </w:r>
    </w:p>
    <w:p w:rsidR="00CA25C1" w:rsidRPr="008036AD" w:rsidRDefault="00CA25C1" w:rsidP="0069475C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В нарушение ч</w:t>
      </w:r>
      <w:r w:rsidR="00DC2623" w:rsidRPr="008036AD">
        <w:rPr>
          <w:sz w:val="26"/>
          <w:szCs w:val="26"/>
        </w:rPr>
        <w:t>асти</w:t>
      </w:r>
      <w:r w:rsidRPr="008036AD">
        <w:rPr>
          <w:sz w:val="26"/>
          <w:szCs w:val="26"/>
        </w:rPr>
        <w:t xml:space="preserve"> 1 ст</w:t>
      </w:r>
      <w:r w:rsidR="00DC2623" w:rsidRPr="008036AD">
        <w:rPr>
          <w:sz w:val="26"/>
          <w:szCs w:val="26"/>
        </w:rPr>
        <w:t>атьи</w:t>
      </w:r>
      <w:r w:rsidRPr="008036AD">
        <w:rPr>
          <w:sz w:val="26"/>
          <w:szCs w:val="26"/>
        </w:rPr>
        <w:t xml:space="preserve"> 95 Федерального закона № 44-ФЗ объектом </w:t>
      </w:r>
      <w:r w:rsidR="00E5706E" w:rsidRPr="008036AD">
        <w:rPr>
          <w:sz w:val="26"/>
          <w:szCs w:val="26"/>
        </w:rPr>
        <w:t>проверки изменены</w:t>
      </w:r>
      <w:r w:rsidRPr="008036AD">
        <w:rPr>
          <w:sz w:val="26"/>
          <w:szCs w:val="26"/>
        </w:rPr>
        <w:t xml:space="preserve"> существенные условия контракта при его исполнении, что не предусмотрено условиями контракта.</w:t>
      </w:r>
    </w:p>
    <w:p w:rsidR="00F4535D" w:rsidRPr="008036AD" w:rsidRDefault="00E5706E" w:rsidP="00DC2623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036AD">
        <w:rPr>
          <w:bCs/>
          <w:sz w:val="26"/>
          <w:szCs w:val="26"/>
        </w:rPr>
        <w:t xml:space="preserve">. </w:t>
      </w:r>
      <w:r w:rsidRPr="008036AD">
        <w:rPr>
          <w:sz w:val="26"/>
          <w:szCs w:val="26"/>
        </w:rPr>
        <w:t>В нарушение п</w:t>
      </w:r>
      <w:r w:rsidR="00DC2623" w:rsidRPr="008036AD">
        <w:rPr>
          <w:sz w:val="26"/>
          <w:szCs w:val="26"/>
        </w:rPr>
        <w:t>ункта</w:t>
      </w:r>
      <w:r w:rsidRPr="008036AD">
        <w:rPr>
          <w:sz w:val="26"/>
          <w:szCs w:val="26"/>
        </w:rPr>
        <w:t xml:space="preserve"> 2 </w:t>
      </w:r>
      <w:r w:rsidR="00DC2623" w:rsidRPr="008036AD">
        <w:rPr>
          <w:sz w:val="26"/>
          <w:szCs w:val="26"/>
        </w:rPr>
        <w:t xml:space="preserve">постановления Правительства РФ от 16.11.2015 № 1236 (ред. от 20.12.2017)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</w:r>
      <w:r w:rsidRPr="008036AD">
        <w:rPr>
          <w:sz w:val="26"/>
          <w:szCs w:val="26"/>
        </w:rPr>
        <w:t>в учреждении не установлен запрет на допуск товаров, происходящих из иностранных государств, отсутствует обоснование невозможности соблюдения запрета на допуск программного обеспечения, происходящего из иностранных государств, для</w:t>
      </w:r>
      <w:proofErr w:type="gramEnd"/>
      <w:r w:rsidRPr="008036AD">
        <w:rPr>
          <w:sz w:val="26"/>
          <w:szCs w:val="26"/>
        </w:rPr>
        <w:t xml:space="preserve"> целей осуществления закупок для обеспечения государственных и муниципальных нужд при заключении муниципального контракта на передачу неисключительных прав на воспроизведение и использование программного обеспечения на сумму 40,0 тыс. руб.</w:t>
      </w:r>
    </w:p>
    <w:p w:rsidR="000E286F" w:rsidRPr="008036AD" w:rsidRDefault="000E286F" w:rsidP="0069475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В </w:t>
      </w:r>
      <w:r w:rsidR="00DC2623" w:rsidRPr="008036AD">
        <w:rPr>
          <w:sz w:val="26"/>
          <w:szCs w:val="26"/>
        </w:rPr>
        <w:t>нарушение пункта</w:t>
      </w:r>
      <w:r w:rsidRPr="008036AD">
        <w:rPr>
          <w:sz w:val="26"/>
          <w:szCs w:val="26"/>
        </w:rPr>
        <w:t xml:space="preserve"> 3 Правил № 1063 условиями муниципального контракта Заказчика не установлен размер штрафа в виде фиксированной суммы.</w:t>
      </w:r>
    </w:p>
    <w:p w:rsidR="000E286F" w:rsidRPr="008036AD" w:rsidRDefault="000E286F" w:rsidP="0069475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В</w:t>
      </w:r>
      <w:r w:rsidRPr="008036AD">
        <w:rPr>
          <w:bCs/>
          <w:sz w:val="26"/>
          <w:szCs w:val="26"/>
        </w:rPr>
        <w:t xml:space="preserve"> </w:t>
      </w:r>
      <w:r w:rsidRPr="008036AD">
        <w:rPr>
          <w:sz w:val="26"/>
          <w:szCs w:val="26"/>
        </w:rPr>
        <w:t>нарушение п</w:t>
      </w:r>
      <w:r w:rsidR="002876AE" w:rsidRPr="008036AD">
        <w:rPr>
          <w:sz w:val="26"/>
          <w:szCs w:val="26"/>
        </w:rPr>
        <w:t xml:space="preserve">ункта </w:t>
      </w:r>
      <w:r w:rsidRPr="008036AD">
        <w:rPr>
          <w:sz w:val="26"/>
          <w:szCs w:val="26"/>
        </w:rPr>
        <w:t>3 ст</w:t>
      </w:r>
      <w:r w:rsidR="002876AE" w:rsidRPr="008036AD">
        <w:rPr>
          <w:sz w:val="26"/>
          <w:szCs w:val="26"/>
        </w:rPr>
        <w:t>атьи</w:t>
      </w:r>
      <w:r w:rsidRPr="008036AD">
        <w:rPr>
          <w:sz w:val="26"/>
          <w:szCs w:val="26"/>
        </w:rPr>
        <w:t xml:space="preserve"> 94 Федерального закона № 44-ФЗ экспертное заключение составлено до фактического выполнения работ, предусмотренных контрактом.</w:t>
      </w:r>
    </w:p>
    <w:p w:rsidR="00156A0F" w:rsidRPr="008036AD" w:rsidRDefault="00156A0F" w:rsidP="0069475C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В нарушение п</w:t>
      </w:r>
      <w:r w:rsidR="002876AE" w:rsidRPr="008036AD">
        <w:rPr>
          <w:sz w:val="26"/>
          <w:szCs w:val="26"/>
        </w:rPr>
        <w:t>унктов</w:t>
      </w:r>
      <w:r w:rsidRPr="008036AD">
        <w:rPr>
          <w:sz w:val="26"/>
          <w:szCs w:val="26"/>
        </w:rPr>
        <w:t xml:space="preserve"> 7 и 8 ст</w:t>
      </w:r>
      <w:r w:rsidR="002876AE" w:rsidRPr="008036AD">
        <w:rPr>
          <w:sz w:val="26"/>
          <w:szCs w:val="26"/>
        </w:rPr>
        <w:t>атьи</w:t>
      </w:r>
      <w:r w:rsidRPr="008036AD">
        <w:rPr>
          <w:sz w:val="26"/>
          <w:szCs w:val="26"/>
        </w:rPr>
        <w:t xml:space="preserve"> 34 Федерального закона № 44-ФЗ и п</w:t>
      </w:r>
      <w:r w:rsidR="002876AE" w:rsidRPr="008036AD">
        <w:rPr>
          <w:sz w:val="26"/>
          <w:szCs w:val="26"/>
        </w:rPr>
        <w:t>унктов</w:t>
      </w:r>
      <w:r w:rsidRPr="008036AD">
        <w:rPr>
          <w:sz w:val="26"/>
          <w:szCs w:val="26"/>
        </w:rPr>
        <w:t xml:space="preserve"> 2 и 6 Правил определения размера штрафа в 5 контрактах не определена пеня за неисполнение обязательств либо не установлен фиксированный размер штрафа за неисполнение контракта.</w:t>
      </w:r>
    </w:p>
    <w:p w:rsidR="008036AD" w:rsidRDefault="008036AD" w:rsidP="00153344">
      <w:pPr>
        <w:ind w:firstLine="709"/>
        <w:rPr>
          <w:b/>
          <w:sz w:val="26"/>
          <w:szCs w:val="26"/>
          <w:lang w:val="en-US"/>
        </w:rPr>
      </w:pPr>
    </w:p>
    <w:p w:rsidR="008036AD" w:rsidRDefault="008036AD" w:rsidP="00153344">
      <w:pPr>
        <w:ind w:firstLine="709"/>
        <w:rPr>
          <w:b/>
          <w:sz w:val="26"/>
          <w:szCs w:val="26"/>
          <w:lang w:val="en-US"/>
        </w:rPr>
      </w:pPr>
    </w:p>
    <w:p w:rsidR="008036AD" w:rsidRDefault="008036AD" w:rsidP="00153344">
      <w:pPr>
        <w:ind w:firstLine="709"/>
        <w:rPr>
          <w:b/>
          <w:sz w:val="26"/>
          <w:szCs w:val="26"/>
          <w:lang w:val="en-US"/>
        </w:rPr>
      </w:pPr>
    </w:p>
    <w:p w:rsidR="00B70EB1" w:rsidRPr="008036AD" w:rsidRDefault="0002040B" w:rsidP="00153344">
      <w:pPr>
        <w:ind w:firstLine="709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lastRenderedPageBreak/>
        <w:t>ВЫВОДЫ</w:t>
      </w:r>
    </w:p>
    <w:p w:rsidR="00B70EB1" w:rsidRPr="008036AD" w:rsidRDefault="00B70EB1" w:rsidP="0069475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Объектами экспертно-аналитического мероприятия в </w:t>
      </w:r>
      <w:r w:rsidR="00F6526C"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</w:t>
      </w:r>
      <w:r w:rsidR="00822ECE" w:rsidRPr="008036AD">
        <w:rPr>
          <w:sz w:val="26"/>
          <w:szCs w:val="26"/>
        </w:rPr>
        <w:t>полугоди</w:t>
      </w:r>
      <w:r w:rsidR="0049053B" w:rsidRPr="008036AD">
        <w:rPr>
          <w:sz w:val="26"/>
          <w:szCs w:val="26"/>
        </w:rPr>
        <w:t>и</w:t>
      </w:r>
      <w:r w:rsidR="00822ECE" w:rsidRPr="008036AD">
        <w:rPr>
          <w:sz w:val="26"/>
          <w:szCs w:val="26"/>
        </w:rPr>
        <w:t xml:space="preserve"> </w:t>
      </w:r>
      <w:r w:rsidRPr="008036AD">
        <w:rPr>
          <w:sz w:val="26"/>
          <w:szCs w:val="26"/>
        </w:rPr>
        <w:t>201</w:t>
      </w:r>
      <w:r w:rsidR="00F6526C" w:rsidRPr="008036AD">
        <w:rPr>
          <w:sz w:val="26"/>
          <w:szCs w:val="26"/>
        </w:rPr>
        <w:t>8</w:t>
      </w:r>
      <w:r w:rsidRPr="008036AD">
        <w:rPr>
          <w:sz w:val="26"/>
          <w:szCs w:val="26"/>
        </w:rPr>
        <w:t xml:space="preserve"> г</w:t>
      </w:r>
      <w:r w:rsidR="002876AE" w:rsidRPr="008036AD">
        <w:rPr>
          <w:sz w:val="26"/>
          <w:szCs w:val="26"/>
        </w:rPr>
        <w:t>ода</w:t>
      </w:r>
      <w:r w:rsidRPr="008036AD">
        <w:rPr>
          <w:sz w:val="26"/>
          <w:szCs w:val="26"/>
        </w:rPr>
        <w:t xml:space="preserve"> являлись </w:t>
      </w:r>
      <w:r w:rsidR="00F6526C" w:rsidRPr="008036AD">
        <w:rPr>
          <w:sz w:val="26"/>
          <w:szCs w:val="26"/>
        </w:rPr>
        <w:t>7</w:t>
      </w:r>
      <w:r w:rsidR="005467D1" w:rsidRPr="008036AD">
        <w:rPr>
          <w:sz w:val="26"/>
          <w:szCs w:val="26"/>
        </w:rPr>
        <w:t>5</w:t>
      </w:r>
      <w:r w:rsidRPr="008036AD">
        <w:rPr>
          <w:sz w:val="26"/>
          <w:szCs w:val="26"/>
        </w:rPr>
        <w:t xml:space="preserve"> </w:t>
      </w:r>
      <w:r w:rsidR="00F6526C" w:rsidRPr="008036AD">
        <w:rPr>
          <w:sz w:val="26"/>
          <w:szCs w:val="26"/>
        </w:rPr>
        <w:t xml:space="preserve">муниципальных </w:t>
      </w:r>
      <w:r w:rsidRPr="008036AD">
        <w:rPr>
          <w:sz w:val="26"/>
          <w:szCs w:val="26"/>
        </w:rPr>
        <w:t>учреждени</w:t>
      </w:r>
      <w:r w:rsidR="006F0BCF" w:rsidRPr="008036AD">
        <w:rPr>
          <w:sz w:val="26"/>
          <w:szCs w:val="26"/>
        </w:rPr>
        <w:t>й</w:t>
      </w:r>
      <w:r w:rsidRPr="008036AD">
        <w:rPr>
          <w:sz w:val="26"/>
          <w:szCs w:val="26"/>
        </w:rPr>
        <w:t xml:space="preserve"> города Железногорска и </w:t>
      </w:r>
      <w:r w:rsidR="00F6526C" w:rsidRPr="008036AD">
        <w:rPr>
          <w:sz w:val="26"/>
          <w:szCs w:val="26"/>
        </w:rPr>
        <w:t>8</w:t>
      </w:r>
      <w:r w:rsidRPr="008036AD">
        <w:rPr>
          <w:sz w:val="26"/>
          <w:szCs w:val="26"/>
        </w:rPr>
        <w:t xml:space="preserve"> муниципальных унитарных предприяти</w:t>
      </w:r>
      <w:r w:rsidR="006F0BCF" w:rsidRPr="008036AD">
        <w:rPr>
          <w:sz w:val="26"/>
          <w:szCs w:val="26"/>
        </w:rPr>
        <w:t>й</w:t>
      </w:r>
      <w:r w:rsidRPr="008036AD">
        <w:rPr>
          <w:sz w:val="26"/>
          <w:szCs w:val="26"/>
        </w:rPr>
        <w:t>.</w:t>
      </w:r>
    </w:p>
    <w:p w:rsidR="00036737" w:rsidRPr="008036AD" w:rsidRDefault="00B70EB1" w:rsidP="0069475C">
      <w:pPr>
        <w:numPr>
          <w:ilvl w:val="0"/>
          <w:numId w:val="4"/>
        </w:numPr>
        <w:tabs>
          <w:tab w:val="left" w:pos="915"/>
        </w:tabs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За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</w:t>
      </w:r>
      <w:r w:rsidR="00822ECE" w:rsidRPr="008036AD">
        <w:rPr>
          <w:sz w:val="26"/>
          <w:szCs w:val="26"/>
        </w:rPr>
        <w:t xml:space="preserve">полугодие </w:t>
      </w:r>
      <w:r w:rsidRPr="008036AD">
        <w:rPr>
          <w:sz w:val="26"/>
          <w:szCs w:val="26"/>
        </w:rPr>
        <w:t>201</w:t>
      </w:r>
      <w:r w:rsidR="00F6526C" w:rsidRPr="008036AD">
        <w:rPr>
          <w:sz w:val="26"/>
          <w:szCs w:val="26"/>
        </w:rPr>
        <w:t>8</w:t>
      </w:r>
      <w:r w:rsidRPr="008036AD">
        <w:rPr>
          <w:sz w:val="26"/>
          <w:szCs w:val="26"/>
        </w:rPr>
        <w:t xml:space="preserve"> г</w:t>
      </w:r>
      <w:r w:rsidR="002876AE" w:rsidRPr="008036AD">
        <w:rPr>
          <w:sz w:val="26"/>
          <w:szCs w:val="26"/>
        </w:rPr>
        <w:t>ода</w:t>
      </w:r>
      <w:r w:rsidRPr="008036AD">
        <w:rPr>
          <w:sz w:val="26"/>
          <w:szCs w:val="26"/>
        </w:rPr>
        <w:t xml:space="preserve"> </w:t>
      </w:r>
      <w:r w:rsidR="00822ECE" w:rsidRPr="008036AD">
        <w:rPr>
          <w:sz w:val="26"/>
          <w:szCs w:val="26"/>
        </w:rPr>
        <w:t xml:space="preserve">Заказчиками </w:t>
      </w:r>
      <w:r w:rsidRPr="008036AD">
        <w:rPr>
          <w:sz w:val="26"/>
          <w:szCs w:val="26"/>
        </w:rPr>
        <w:t xml:space="preserve">города Железногорска заключено </w:t>
      </w:r>
      <w:r w:rsidR="00822ECE" w:rsidRPr="008036AD">
        <w:rPr>
          <w:sz w:val="26"/>
          <w:szCs w:val="26"/>
        </w:rPr>
        <w:t>3087</w:t>
      </w:r>
      <w:r w:rsidRPr="008036AD">
        <w:rPr>
          <w:sz w:val="26"/>
          <w:szCs w:val="26"/>
        </w:rPr>
        <w:t xml:space="preserve"> контракт</w:t>
      </w:r>
      <w:r w:rsidR="00F6526C" w:rsidRPr="008036AD">
        <w:rPr>
          <w:sz w:val="26"/>
          <w:szCs w:val="26"/>
        </w:rPr>
        <w:t>ов</w:t>
      </w:r>
      <w:r w:rsidRPr="008036AD">
        <w:rPr>
          <w:sz w:val="26"/>
          <w:szCs w:val="26"/>
        </w:rPr>
        <w:t xml:space="preserve"> (гражданско-правовых договор</w:t>
      </w:r>
      <w:r w:rsidR="00F6526C" w:rsidRPr="008036AD">
        <w:rPr>
          <w:sz w:val="26"/>
          <w:szCs w:val="26"/>
        </w:rPr>
        <w:t>ов</w:t>
      </w:r>
      <w:r w:rsidRPr="008036AD">
        <w:rPr>
          <w:sz w:val="26"/>
          <w:szCs w:val="26"/>
        </w:rPr>
        <w:t xml:space="preserve">) на общую сумму </w:t>
      </w:r>
      <w:r w:rsidR="00822ECE" w:rsidRPr="008036AD">
        <w:rPr>
          <w:sz w:val="26"/>
          <w:szCs w:val="26"/>
        </w:rPr>
        <w:t>1397960,7</w:t>
      </w:r>
      <w:r w:rsidRPr="008036AD">
        <w:rPr>
          <w:sz w:val="26"/>
          <w:szCs w:val="26"/>
        </w:rPr>
        <w:t xml:space="preserve"> тыс. рублей</w:t>
      </w:r>
      <w:r w:rsidR="00822ECE" w:rsidRPr="008036AD">
        <w:rPr>
          <w:sz w:val="26"/>
          <w:szCs w:val="26"/>
        </w:rPr>
        <w:t>.</w:t>
      </w:r>
      <w:r w:rsidR="00893506" w:rsidRPr="008036AD">
        <w:rPr>
          <w:sz w:val="26"/>
          <w:szCs w:val="26"/>
        </w:rPr>
        <w:t xml:space="preserve"> </w:t>
      </w:r>
    </w:p>
    <w:p w:rsidR="00036737" w:rsidRPr="008036AD" w:rsidRDefault="00036737" w:rsidP="0069475C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Долевое соотношение конкурентных и неконкурентных способов закупок в муниципальных учреждениях города Железногорска составило соответственно </w:t>
      </w:r>
      <w:r w:rsidR="00822ECE" w:rsidRPr="008036AD">
        <w:rPr>
          <w:sz w:val="26"/>
          <w:szCs w:val="26"/>
        </w:rPr>
        <w:t>30</w:t>
      </w:r>
      <w:r w:rsidRPr="008036AD">
        <w:rPr>
          <w:sz w:val="26"/>
          <w:szCs w:val="26"/>
        </w:rPr>
        <w:t xml:space="preserve"> % и </w:t>
      </w:r>
      <w:r w:rsidR="00822ECE" w:rsidRPr="008036AD">
        <w:rPr>
          <w:sz w:val="26"/>
          <w:szCs w:val="26"/>
        </w:rPr>
        <w:t>70</w:t>
      </w:r>
      <w:r w:rsidRPr="008036AD">
        <w:rPr>
          <w:sz w:val="26"/>
          <w:szCs w:val="26"/>
        </w:rPr>
        <w:t xml:space="preserve"> %.</w:t>
      </w:r>
    </w:p>
    <w:p w:rsidR="00B70EB1" w:rsidRPr="008036AD" w:rsidRDefault="00B70EB1" w:rsidP="0069475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Закупки у единственного поставщика осуществлялись по пунктам 1, 4, 5,</w:t>
      </w:r>
      <w:r w:rsidR="00822ECE" w:rsidRPr="008036AD">
        <w:rPr>
          <w:sz w:val="26"/>
          <w:szCs w:val="26"/>
        </w:rPr>
        <w:t xml:space="preserve"> 6,</w:t>
      </w:r>
      <w:r w:rsidRPr="008036AD">
        <w:rPr>
          <w:sz w:val="26"/>
          <w:szCs w:val="26"/>
        </w:rPr>
        <w:t xml:space="preserve"> </w:t>
      </w:r>
      <w:r w:rsidR="00492F0F" w:rsidRPr="008036AD">
        <w:rPr>
          <w:sz w:val="26"/>
          <w:szCs w:val="26"/>
        </w:rPr>
        <w:t>8, 2</w:t>
      </w:r>
      <w:r w:rsidR="00822ECE" w:rsidRPr="008036AD">
        <w:rPr>
          <w:sz w:val="26"/>
          <w:szCs w:val="26"/>
        </w:rPr>
        <w:t>3,25</w:t>
      </w:r>
      <w:r w:rsidR="00492F0F" w:rsidRPr="008036AD">
        <w:rPr>
          <w:sz w:val="26"/>
          <w:szCs w:val="26"/>
        </w:rPr>
        <w:t xml:space="preserve"> и </w:t>
      </w:r>
      <w:r w:rsidRPr="008036AD">
        <w:rPr>
          <w:sz w:val="26"/>
          <w:szCs w:val="26"/>
        </w:rPr>
        <w:t xml:space="preserve">29 части 1 статьи 93 Федерального закона № 44-ФЗ. Из них основной объем закупок приходится на пункты </w:t>
      </w:r>
      <w:r w:rsidR="00492F0F" w:rsidRPr="008036AD">
        <w:rPr>
          <w:sz w:val="26"/>
          <w:szCs w:val="26"/>
        </w:rPr>
        <w:t>5 и 29</w:t>
      </w:r>
      <w:r w:rsidR="00822ECE" w:rsidRPr="008036AD">
        <w:rPr>
          <w:sz w:val="26"/>
          <w:szCs w:val="26"/>
        </w:rPr>
        <w:t>.</w:t>
      </w:r>
      <w:r w:rsidR="00492F0F" w:rsidRPr="008036AD">
        <w:rPr>
          <w:sz w:val="26"/>
          <w:szCs w:val="26"/>
        </w:rPr>
        <w:t xml:space="preserve"> </w:t>
      </w:r>
    </w:p>
    <w:p w:rsidR="00822ECE" w:rsidRPr="008036AD" w:rsidRDefault="00822ECE" w:rsidP="0069475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Исполнение контрактов, заключенных в рамках муниципальных программ за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полугодие 2018 года составляет 201374,5 тыс. рублей.</w:t>
      </w:r>
    </w:p>
    <w:p w:rsidR="00822ECE" w:rsidRPr="008036AD" w:rsidRDefault="0049053B" w:rsidP="0069475C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Общая сумма нарушений в сфере закупок в рамках проведения контрольных мероприятий в </w:t>
      </w:r>
      <w:r w:rsidRPr="008036AD">
        <w:rPr>
          <w:sz w:val="26"/>
          <w:szCs w:val="26"/>
          <w:lang w:val="en-US"/>
        </w:rPr>
        <w:t>I</w:t>
      </w:r>
      <w:r w:rsidRPr="008036AD">
        <w:rPr>
          <w:sz w:val="26"/>
          <w:szCs w:val="26"/>
        </w:rPr>
        <w:t xml:space="preserve"> полугодии 2018 г. составила 1095,1 тыс. рублей.</w:t>
      </w:r>
    </w:p>
    <w:p w:rsidR="00CC26D1" w:rsidRPr="008036AD" w:rsidRDefault="00CC26D1" w:rsidP="00945C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036AD">
        <w:rPr>
          <w:b/>
          <w:sz w:val="26"/>
          <w:szCs w:val="26"/>
        </w:rPr>
        <w:t>ПРЕДЛОЖЕНИЯ:</w:t>
      </w:r>
    </w:p>
    <w:p w:rsidR="00251F89" w:rsidRPr="008036AD" w:rsidRDefault="00A95DD7" w:rsidP="0069475C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Контрольно-счетной палате города Железногорска</w:t>
      </w:r>
      <w:r w:rsidR="00B1750A" w:rsidRPr="008036AD">
        <w:rPr>
          <w:sz w:val="26"/>
          <w:szCs w:val="26"/>
        </w:rPr>
        <w:t>:</w:t>
      </w:r>
      <w:r w:rsidRPr="008036AD">
        <w:rPr>
          <w:sz w:val="26"/>
          <w:szCs w:val="26"/>
        </w:rPr>
        <w:t xml:space="preserve"> </w:t>
      </w:r>
    </w:p>
    <w:p w:rsidR="00A95DD7" w:rsidRPr="008036AD" w:rsidRDefault="00251F89" w:rsidP="00251F8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8036AD">
        <w:rPr>
          <w:sz w:val="26"/>
          <w:szCs w:val="26"/>
        </w:rPr>
        <w:t xml:space="preserve">- </w:t>
      </w:r>
      <w:r w:rsidR="00A95DD7" w:rsidRPr="008036AD">
        <w:rPr>
          <w:sz w:val="26"/>
          <w:szCs w:val="26"/>
        </w:rPr>
        <w:t>направить настоящий Отчет главе города Железногорска и председател</w:t>
      </w:r>
      <w:r w:rsidR="0049053B" w:rsidRPr="008036AD">
        <w:rPr>
          <w:sz w:val="26"/>
          <w:szCs w:val="26"/>
        </w:rPr>
        <w:t>ю Железногорской городской Думы.</w:t>
      </w:r>
    </w:p>
    <w:p w:rsidR="0049053B" w:rsidRPr="008036AD" w:rsidRDefault="0049053B" w:rsidP="00251F89">
      <w:pPr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8036AD">
        <w:rPr>
          <w:sz w:val="26"/>
          <w:szCs w:val="26"/>
        </w:rPr>
        <w:t>2. Объектам проверок соблюдать требования законодательства в сфере закупок.</w:t>
      </w:r>
    </w:p>
    <w:p w:rsidR="00A44CCE" w:rsidRPr="008036AD" w:rsidRDefault="00A44CCE" w:rsidP="00A44CCE">
      <w:pPr>
        <w:ind w:firstLine="708"/>
        <w:rPr>
          <w:sz w:val="26"/>
          <w:szCs w:val="26"/>
        </w:rPr>
      </w:pPr>
    </w:p>
    <w:p w:rsidR="00A44CCE" w:rsidRDefault="00A44CCE" w:rsidP="00A44CCE">
      <w:pPr>
        <w:ind w:firstLine="708"/>
        <w:rPr>
          <w:sz w:val="26"/>
          <w:szCs w:val="26"/>
          <w:lang w:val="en-US"/>
        </w:rPr>
      </w:pPr>
    </w:p>
    <w:p w:rsidR="008036AD" w:rsidRPr="008036AD" w:rsidRDefault="008036AD" w:rsidP="00A44CCE">
      <w:pPr>
        <w:ind w:firstLine="708"/>
        <w:rPr>
          <w:sz w:val="26"/>
          <w:szCs w:val="26"/>
          <w:lang w:val="en-US"/>
        </w:rPr>
      </w:pPr>
    </w:p>
    <w:p w:rsidR="00A44CCE" w:rsidRPr="008036AD" w:rsidRDefault="00A44CCE" w:rsidP="00A44CCE">
      <w:pPr>
        <w:ind w:firstLine="708"/>
        <w:rPr>
          <w:sz w:val="26"/>
          <w:szCs w:val="26"/>
        </w:rPr>
      </w:pPr>
      <w:r w:rsidRPr="008036AD">
        <w:rPr>
          <w:sz w:val="26"/>
          <w:szCs w:val="26"/>
        </w:rPr>
        <w:t>Руководитель</w:t>
      </w:r>
    </w:p>
    <w:p w:rsidR="00A44CCE" w:rsidRPr="008036AD" w:rsidRDefault="00A44CCE" w:rsidP="002876AE">
      <w:pPr>
        <w:rPr>
          <w:sz w:val="26"/>
          <w:szCs w:val="26"/>
        </w:rPr>
      </w:pPr>
      <w:r w:rsidRPr="008036AD">
        <w:rPr>
          <w:sz w:val="26"/>
          <w:szCs w:val="26"/>
        </w:rPr>
        <w:t>экспертно-аналитического мероприятия</w:t>
      </w:r>
      <w:r w:rsidRPr="008036AD">
        <w:rPr>
          <w:sz w:val="26"/>
          <w:szCs w:val="26"/>
        </w:rPr>
        <w:tab/>
      </w:r>
      <w:r w:rsidRPr="008036AD">
        <w:rPr>
          <w:sz w:val="26"/>
          <w:szCs w:val="26"/>
        </w:rPr>
        <w:tab/>
      </w:r>
      <w:r w:rsidRPr="008036AD">
        <w:rPr>
          <w:sz w:val="26"/>
          <w:szCs w:val="26"/>
        </w:rPr>
        <w:tab/>
      </w:r>
      <w:r w:rsidRPr="008036AD">
        <w:rPr>
          <w:sz w:val="26"/>
          <w:szCs w:val="26"/>
        </w:rPr>
        <w:tab/>
        <w:t>Э.П.  Васильева</w:t>
      </w:r>
    </w:p>
    <w:sectPr w:rsidR="00A44CCE" w:rsidRPr="008036AD" w:rsidSect="001B69B5">
      <w:headerReference w:type="default" r:id="rId11"/>
      <w:pgSz w:w="11906" w:h="16838"/>
      <w:pgMar w:top="993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A0" w:rsidRDefault="006A58A0" w:rsidP="007B3FD3">
      <w:r>
        <w:separator/>
      </w:r>
    </w:p>
  </w:endnote>
  <w:endnote w:type="continuationSeparator" w:id="0">
    <w:p w:rsidR="006A58A0" w:rsidRDefault="006A58A0" w:rsidP="007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A0" w:rsidRDefault="006A58A0" w:rsidP="007B3FD3">
      <w:r>
        <w:separator/>
      </w:r>
    </w:p>
  </w:footnote>
  <w:footnote w:type="continuationSeparator" w:id="0">
    <w:p w:rsidR="006A58A0" w:rsidRDefault="006A58A0" w:rsidP="007B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1A" w:rsidRDefault="008C181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A74EC">
      <w:rPr>
        <w:noProof/>
      </w:rPr>
      <w:t>2</w:t>
    </w:r>
    <w:r>
      <w:rPr>
        <w:noProof/>
      </w:rPr>
      <w:fldChar w:fldCharType="end"/>
    </w:r>
  </w:p>
  <w:p w:rsidR="008C181A" w:rsidRDefault="008C18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1E8"/>
    <w:multiLevelType w:val="multilevel"/>
    <w:tmpl w:val="7994B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0A20247"/>
    <w:multiLevelType w:val="hybridMultilevel"/>
    <w:tmpl w:val="2C52B206"/>
    <w:lvl w:ilvl="0" w:tplc="639A7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55AC3"/>
    <w:multiLevelType w:val="hybridMultilevel"/>
    <w:tmpl w:val="72B60EE6"/>
    <w:lvl w:ilvl="0" w:tplc="A7502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D4C287E"/>
    <w:multiLevelType w:val="multilevel"/>
    <w:tmpl w:val="1E8087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">
    <w:nsid w:val="7D835F8C"/>
    <w:multiLevelType w:val="hybridMultilevel"/>
    <w:tmpl w:val="42480FA4"/>
    <w:lvl w:ilvl="0" w:tplc="89146B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8EB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12F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EC3A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D09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3C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A00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5AA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8CB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A"/>
    <w:rsid w:val="0000636C"/>
    <w:rsid w:val="00006EA3"/>
    <w:rsid w:val="000103BB"/>
    <w:rsid w:val="0001698D"/>
    <w:rsid w:val="00017145"/>
    <w:rsid w:val="0002040B"/>
    <w:rsid w:val="000208A3"/>
    <w:rsid w:val="00020C0A"/>
    <w:rsid w:val="00020CC6"/>
    <w:rsid w:val="0002178D"/>
    <w:rsid w:val="00022993"/>
    <w:rsid w:val="00024E18"/>
    <w:rsid w:val="00025445"/>
    <w:rsid w:val="0003089D"/>
    <w:rsid w:val="00032041"/>
    <w:rsid w:val="00034E59"/>
    <w:rsid w:val="00036737"/>
    <w:rsid w:val="00037DF8"/>
    <w:rsid w:val="00044B78"/>
    <w:rsid w:val="00044F30"/>
    <w:rsid w:val="00045B3B"/>
    <w:rsid w:val="00045C70"/>
    <w:rsid w:val="00045E91"/>
    <w:rsid w:val="00046940"/>
    <w:rsid w:val="00046B88"/>
    <w:rsid w:val="00046C8C"/>
    <w:rsid w:val="00051C97"/>
    <w:rsid w:val="00052A6B"/>
    <w:rsid w:val="00052BA0"/>
    <w:rsid w:val="000551B4"/>
    <w:rsid w:val="00055664"/>
    <w:rsid w:val="00057C09"/>
    <w:rsid w:val="00057E9F"/>
    <w:rsid w:val="00060BB3"/>
    <w:rsid w:val="00061AEC"/>
    <w:rsid w:val="00062275"/>
    <w:rsid w:val="000639D9"/>
    <w:rsid w:val="00064926"/>
    <w:rsid w:val="00066661"/>
    <w:rsid w:val="00072F0D"/>
    <w:rsid w:val="00080C00"/>
    <w:rsid w:val="000818A7"/>
    <w:rsid w:val="00084013"/>
    <w:rsid w:val="0009188D"/>
    <w:rsid w:val="00095E52"/>
    <w:rsid w:val="000A1213"/>
    <w:rsid w:val="000A1B2D"/>
    <w:rsid w:val="000A2EC7"/>
    <w:rsid w:val="000A35B2"/>
    <w:rsid w:val="000A42BF"/>
    <w:rsid w:val="000A4E3D"/>
    <w:rsid w:val="000A6096"/>
    <w:rsid w:val="000A635E"/>
    <w:rsid w:val="000A6404"/>
    <w:rsid w:val="000A6B66"/>
    <w:rsid w:val="000A7FEE"/>
    <w:rsid w:val="000B52BA"/>
    <w:rsid w:val="000B6DFA"/>
    <w:rsid w:val="000B7E34"/>
    <w:rsid w:val="000C0957"/>
    <w:rsid w:val="000C0FDC"/>
    <w:rsid w:val="000C1E80"/>
    <w:rsid w:val="000C24A6"/>
    <w:rsid w:val="000C57C7"/>
    <w:rsid w:val="000C5C92"/>
    <w:rsid w:val="000C5DEA"/>
    <w:rsid w:val="000C72C7"/>
    <w:rsid w:val="000D1B1F"/>
    <w:rsid w:val="000D1CB6"/>
    <w:rsid w:val="000D2280"/>
    <w:rsid w:val="000D43A2"/>
    <w:rsid w:val="000D4BFC"/>
    <w:rsid w:val="000D5DCF"/>
    <w:rsid w:val="000D60B5"/>
    <w:rsid w:val="000D73D2"/>
    <w:rsid w:val="000D7B70"/>
    <w:rsid w:val="000E1958"/>
    <w:rsid w:val="000E1E57"/>
    <w:rsid w:val="000E286F"/>
    <w:rsid w:val="000E3492"/>
    <w:rsid w:val="000E3600"/>
    <w:rsid w:val="000E3FDB"/>
    <w:rsid w:val="000E4925"/>
    <w:rsid w:val="000E4E5F"/>
    <w:rsid w:val="000E55DE"/>
    <w:rsid w:val="000F253A"/>
    <w:rsid w:val="000F40CE"/>
    <w:rsid w:val="000F40F2"/>
    <w:rsid w:val="00103675"/>
    <w:rsid w:val="00107A0B"/>
    <w:rsid w:val="0011280F"/>
    <w:rsid w:val="001131F9"/>
    <w:rsid w:val="00114357"/>
    <w:rsid w:val="001155F0"/>
    <w:rsid w:val="00115DBD"/>
    <w:rsid w:val="00116280"/>
    <w:rsid w:val="001218E6"/>
    <w:rsid w:val="001220D2"/>
    <w:rsid w:val="001235AD"/>
    <w:rsid w:val="0012641E"/>
    <w:rsid w:val="00127C23"/>
    <w:rsid w:val="001313F5"/>
    <w:rsid w:val="00132B4E"/>
    <w:rsid w:val="001350F9"/>
    <w:rsid w:val="00136A6C"/>
    <w:rsid w:val="00140A69"/>
    <w:rsid w:val="001413F8"/>
    <w:rsid w:val="00145F58"/>
    <w:rsid w:val="0014793B"/>
    <w:rsid w:val="00150A3B"/>
    <w:rsid w:val="00150FBA"/>
    <w:rsid w:val="001527C3"/>
    <w:rsid w:val="00153344"/>
    <w:rsid w:val="001548AF"/>
    <w:rsid w:val="0015677F"/>
    <w:rsid w:val="00156A0F"/>
    <w:rsid w:val="00160E2B"/>
    <w:rsid w:val="001615F5"/>
    <w:rsid w:val="001627CF"/>
    <w:rsid w:val="0016307B"/>
    <w:rsid w:val="00170188"/>
    <w:rsid w:val="00170597"/>
    <w:rsid w:val="00172A26"/>
    <w:rsid w:val="00173AA1"/>
    <w:rsid w:val="001802F1"/>
    <w:rsid w:val="00180CAB"/>
    <w:rsid w:val="001828A7"/>
    <w:rsid w:val="001828F6"/>
    <w:rsid w:val="00191068"/>
    <w:rsid w:val="00191421"/>
    <w:rsid w:val="00191EB2"/>
    <w:rsid w:val="001977EA"/>
    <w:rsid w:val="001A01AF"/>
    <w:rsid w:val="001A0DE8"/>
    <w:rsid w:val="001A0E13"/>
    <w:rsid w:val="001A2F59"/>
    <w:rsid w:val="001A3D1E"/>
    <w:rsid w:val="001A7FEB"/>
    <w:rsid w:val="001B542C"/>
    <w:rsid w:val="001B69B5"/>
    <w:rsid w:val="001B7C6A"/>
    <w:rsid w:val="001C11D0"/>
    <w:rsid w:val="001C3336"/>
    <w:rsid w:val="001C3363"/>
    <w:rsid w:val="001C4F11"/>
    <w:rsid w:val="001D01C4"/>
    <w:rsid w:val="001D1492"/>
    <w:rsid w:val="001E2A1E"/>
    <w:rsid w:val="001E74A8"/>
    <w:rsid w:val="001F42A9"/>
    <w:rsid w:val="00200D0B"/>
    <w:rsid w:val="00202A0B"/>
    <w:rsid w:val="00204C33"/>
    <w:rsid w:val="00204D67"/>
    <w:rsid w:val="00206F6E"/>
    <w:rsid w:val="00211EEA"/>
    <w:rsid w:val="0021330F"/>
    <w:rsid w:val="00214DAA"/>
    <w:rsid w:val="002156CB"/>
    <w:rsid w:val="0021603D"/>
    <w:rsid w:val="00216C5D"/>
    <w:rsid w:val="00217C2B"/>
    <w:rsid w:val="00222116"/>
    <w:rsid w:val="0023133C"/>
    <w:rsid w:val="002330A5"/>
    <w:rsid w:val="00234A14"/>
    <w:rsid w:val="00241D4C"/>
    <w:rsid w:val="0024271F"/>
    <w:rsid w:val="00242A66"/>
    <w:rsid w:val="00245D36"/>
    <w:rsid w:val="00250A53"/>
    <w:rsid w:val="00251F89"/>
    <w:rsid w:val="00252A1B"/>
    <w:rsid w:val="00253E02"/>
    <w:rsid w:val="0025431A"/>
    <w:rsid w:val="00255586"/>
    <w:rsid w:val="00257060"/>
    <w:rsid w:val="00257E12"/>
    <w:rsid w:val="00257E9F"/>
    <w:rsid w:val="002602D0"/>
    <w:rsid w:val="0026142D"/>
    <w:rsid w:val="002615D0"/>
    <w:rsid w:val="002632C0"/>
    <w:rsid w:val="002665C8"/>
    <w:rsid w:val="00267079"/>
    <w:rsid w:val="00267C4B"/>
    <w:rsid w:val="00271D9F"/>
    <w:rsid w:val="00273205"/>
    <w:rsid w:val="0027353D"/>
    <w:rsid w:val="00280FD5"/>
    <w:rsid w:val="00284C2B"/>
    <w:rsid w:val="002876AE"/>
    <w:rsid w:val="00291468"/>
    <w:rsid w:val="002917B9"/>
    <w:rsid w:val="00291948"/>
    <w:rsid w:val="00292991"/>
    <w:rsid w:val="002962D2"/>
    <w:rsid w:val="00296ACE"/>
    <w:rsid w:val="002973E0"/>
    <w:rsid w:val="002A4AB5"/>
    <w:rsid w:val="002A55B0"/>
    <w:rsid w:val="002A633A"/>
    <w:rsid w:val="002A63DC"/>
    <w:rsid w:val="002B1DB1"/>
    <w:rsid w:val="002B4283"/>
    <w:rsid w:val="002B7284"/>
    <w:rsid w:val="002C1B2F"/>
    <w:rsid w:val="002C1CFC"/>
    <w:rsid w:val="002C2338"/>
    <w:rsid w:val="002C28F6"/>
    <w:rsid w:val="002C63E9"/>
    <w:rsid w:val="002D3219"/>
    <w:rsid w:val="002D5BC2"/>
    <w:rsid w:val="002E03E3"/>
    <w:rsid w:val="002E0A9A"/>
    <w:rsid w:val="002E0CE8"/>
    <w:rsid w:val="002E0D03"/>
    <w:rsid w:val="002E110A"/>
    <w:rsid w:val="002E7778"/>
    <w:rsid w:val="002F18E0"/>
    <w:rsid w:val="002F337B"/>
    <w:rsid w:val="002F65F7"/>
    <w:rsid w:val="0030251D"/>
    <w:rsid w:val="00302E7F"/>
    <w:rsid w:val="00303FAB"/>
    <w:rsid w:val="003049A1"/>
    <w:rsid w:val="00305B80"/>
    <w:rsid w:val="00315947"/>
    <w:rsid w:val="00317C0E"/>
    <w:rsid w:val="0032165B"/>
    <w:rsid w:val="00321DF9"/>
    <w:rsid w:val="00323149"/>
    <w:rsid w:val="0032363C"/>
    <w:rsid w:val="00323663"/>
    <w:rsid w:val="00325C47"/>
    <w:rsid w:val="00332231"/>
    <w:rsid w:val="00334347"/>
    <w:rsid w:val="0033599E"/>
    <w:rsid w:val="00335B0A"/>
    <w:rsid w:val="00340A83"/>
    <w:rsid w:val="00341129"/>
    <w:rsid w:val="003428DC"/>
    <w:rsid w:val="0034296F"/>
    <w:rsid w:val="00344418"/>
    <w:rsid w:val="00344C9D"/>
    <w:rsid w:val="00344F41"/>
    <w:rsid w:val="00351AA6"/>
    <w:rsid w:val="00351F75"/>
    <w:rsid w:val="003527A1"/>
    <w:rsid w:val="00354B7E"/>
    <w:rsid w:val="00356027"/>
    <w:rsid w:val="00357229"/>
    <w:rsid w:val="00357299"/>
    <w:rsid w:val="003618CE"/>
    <w:rsid w:val="0036222D"/>
    <w:rsid w:val="00362DD7"/>
    <w:rsid w:val="00364D58"/>
    <w:rsid w:val="003657C9"/>
    <w:rsid w:val="00366938"/>
    <w:rsid w:val="003719CD"/>
    <w:rsid w:val="00371D62"/>
    <w:rsid w:val="00372D7F"/>
    <w:rsid w:val="003760FD"/>
    <w:rsid w:val="00376195"/>
    <w:rsid w:val="00380BB0"/>
    <w:rsid w:val="003815BC"/>
    <w:rsid w:val="00383E1D"/>
    <w:rsid w:val="00383FB1"/>
    <w:rsid w:val="0038677F"/>
    <w:rsid w:val="003870E1"/>
    <w:rsid w:val="00387EA7"/>
    <w:rsid w:val="00394460"/>
    <w:rsid w:val="00396535"/>
    <w:rsid w:val="0039723A"/>
    <w:rsid w:val="003A22DF"/>
    <w:rsid w:val="003A26FF"/>
    <w:rsid w:val="003B07A1"/>
    <w:rsid w:val="003B0CF7"/>
    <w:rsid w:val="003B186A"/>
    <w:rsid w:val="003B27EE"/>
    <w:rsid w:val="003B4AED"/>
    <w:rsid w:val="003B5605"/>
    <w:rsid w:val="003B67CA"/>
    <w:rsid w:val="003B69F9"/>
    <w:rsid w:val="003B6B07"/>
    <w:rsid w:val="003C0917"/>
    <w:rsid w:val="003C0D85"/>
    <w:rsid w:val="003C5892"/>
    <w:rsid w:val="003C58BC"/>
    <w:rsid w:val="003C7FE9"/>
    <w:rsid w:val="003D29EF"/>
    <w:rsid w:val="003D37D8"/>
    <w:rsid w:val="003E03F1"/>
    <w:rsid w:val="003E2F8C"/>
    <w:rsid w:val="003E5871"/>
    <w:rsid w:val="003E5FA9"/>
    <w:rsid w:val="003F0550"/>
    <w:rsid w:val="003F1E71"/>
    <w:rsid w:val="003F4F13"/>
    <w:rsid w:val="003F6EDF"/>
    <w:rsid w:val="00401414"/>
    <w:rsid w:val="00401E97"/>
    <w:rsid w:val="00404151"/>
    <w:rsid w:val="00405421"/>
    <w:rsid w:val="004076E4"/>
    <w:rsid w:val="00410B7E"/>
    <w:rsid w:val="00410C49"/>
    <w:rsid w:val="0041162A"/>
    <w:rsid w:val="0041420D"/>
    <w:rsid w:val="00414E3D"/>
    <w:rsid w:val="004163CE"/>
    <w:rsid w:val="00416AE3"/>
    <w:rsid w:val="0041726D"/>
    <w:rsid w:val="004231F9"/>
    <w:rsid w:val="00424AAA"/>
    <w:rsid w:val="0042568C"/>
    <w:rsid w:val="0042674E"/>
    <w:rsid w:val="00426917"/>
    <w:rsid w:val="00430E6D"/>
    <w:rsid w:val="004331F4"/>
    <w:rsid w:val="00433C9F"/>
    <w:rsid w:val="004368FD"/>
    <w:rsid w:val="00436A63"/>
    <w:rsid w:val="00437BDF"/>
    <w:rsid w:val="0044032F"/>
    <w:rsid w:val="00440E52"/>
    <w:rsid w:val="00440FC3"/>
    <w:rsid w:val="00443633"/>
    <w:rsid w:val="004446BC"/>
    <w:rsid w:val="00445F57"/>
    <w:rsid w:val="00447BFB"/>
    <w:rsid w:val="004508DE"/>
    <w:rsid w:val="00454B2C"/>
    <w:rsid w:val="004558C6"/>
    <w:rsid w:val="00455A00"/>
    <w:rsid w:val="00455D61"/>
    <w:rsid w:val="00455E7E"/>
    <w:rsid w:val="00463946"/>
    <w:rsid w:val="00466A01"/>
    <w:rsid w:val="004700AC"/>
    <w:rsid w:val="00471C65"/>
    <w:rsid w:val="00471D66"/>
    <w:rsid w:val="00473677"/>
    <w:rsid w:val="00473ADA"/>
    <w:rsid w:val="0047589D"/>
    <w:rsid w:val="00476011"/>
    <w:rsid w:val="0047629C"/>
    <w:rsid w:val="004840F3"/>
    <w:rsid w:val="00485097"/>
    <w:rsid w:val="0049053B"/>
    <w:rsid w:val="00491343"/>
    <w:rsid w:val="00492F0F"/>
    <w:rsid w:val="0049301B"/>
    <w:rsid w:val="00495D22"/>
    <w:rsid w:val="00497286"/>
    <w:rsid w:val="004A07BE"/>
    <w:rsid w:val="004A1425"/>
    <w:rsid w:val="004A2294"/>
    <w:rsid w:val="004A2375"/>
    <w:rsid w:val="004A6C0D"/>
    <w:rsid w:val="004A7327"/>
    <w:rsid w:val="004B4929"/>
    <w:rsid w:val="004B49B4"/>
    <w:rsid w:val="004B6C8C"/>
    <w:rsid w:val="004B7C2D"/>
    <w:rsid w:val="004C26DA"/>
    <w:rsid w:val="004C26E1"/>
    <w:rsid w:val="004C5397"/>
    <w:rsid w:val="004C61D8"/>
    <w:rsid w:val="004C646E"/>
    <w:rsid w:val="004C7097"/>
    <w:rsid w:val="004D2944"/>
    <w:rsid w:val="004D3A95"/>
    <w:rsid w:val="004D588F"/>
    <w:rsid w:val="004D7808"/>
    <w:rsid w:val="004D7CB9"/>
    <w:rsid w:val="004E0C89"/>
    <w:rsid w:val="004E1844"/>
    <w:rsid w:val="004E48D2"/>
    <w:rsid w:val="004E6349"/>
    <w:rsid w:val="004E6630"/>
    <w:rsid w:val="004F12FE"/>
    <w:rsid w:val="004F3F70"/>
    <w:rsid w:val="004F40EE"/>
    <w:rsid w:val="004F4D7B"/>
    <w:rsid w:val="004F5F53"/>
    <w:rsid w:val="004F6BA9"/>
    <w:rsid w:val="004F7AA4"/>
    <w:rsid w:val="0050016A"/>
    <w:rsid w:val="00500229"/>
    <w:rsid w:val="00506CEE"/>
    <w:rsid w:val="00506E86"/>
    <w:rsid w:val="005077BD"/>
    <w:rsid w:val="00511239"/>
    <w:rsid w:val="005115ED"/>
    <w:rsid w:val="00514C08"/>
    <w:rsid w:val="005157FE"/>
    <w:rsid w:val="00515EDA"/>
    <w:rsid w:val="00516A88"/>
    <w:rsid w:val="00523363"/>
    <w:rsid w:val="005236B7"/>
    <w:rsid w:val="00523F42"/>
    <w:rsid w:val="00524214"/>
    <w:rsid w:val="00525526"/>
    <w:rsid w:val="005256B9"/>
    <w:rsid w:val="00526A5B"/>
    <w:rsid w:val="00526D79"/>
    <w:rsid w:val="00530C74"/>
    <w:rsid w:val="00531031"/>
    <w:rsid w:val="0053174E"/>
    <w:rsid w:val="005333C2"/>
    <w:rsid w:val="005357FB"/>
    <w:rsid w:val="00537C0E"/>
    <w:rsid w:val="00537F4E"/>
    <w:rsid w:val="00542839"/>
    <w:rsid w:val="00544AC5"/>
    <w:rsid w:val="00544D1D"/>
    <w:rsid w:val="0054506A"/>
    <w:rsid w:val="00546297"/>
    <w:rsid w:val="005467D1"/>
    <w:rsid w:val="00546CE8"/>
    <w:rsid w:val="00547440"/>
    <w:rsid w:val="00552653"/>
    <w:rsid w:val="00552F34"/>
    <w:rsid w:val="00553F6A"/>
    <w:rsid w:val="0055713C"/>
    <w:rsid w:val="0055793B"/>
    <w:rsid w:val="0056090E"/>
    <w:rsid w:val="0056474B"/>
    <w:rsid w:val="005678D6"/>
    <w:rsid w:val="00567A6C"/>
    <w:rsid w:val="00567ED2"/>
    <w:rsid w:val="00571786"/>
    <w:rsid w:val="00572079"/>
    <w:rsid w:val="005734A8"/>
    <w:rsid w:val="00573D3C"/>
    <w:rsid w:val="0057466D"/>
    <w:rsid w:val="00576005"/>
    <w:rsid w:val="00577037"/>
    <w:rsid w:val="005773BD"/>
    <w:rsid w:val="005870D2"/>
    <w:rsid w:val="005904AB"/>
    <w:rsid w:val="005905B2"/>
    <w:rsid w:val="0059286D"/>
    <w:rsid w:val="00592B27"/>
    <w:rsid w:val="00595E6C"/>
    <w:rsid w:val="005966B6"/>
    <w:rsid w:val="00597646"/>
    <w:rsid w:val="005A093F"/>
    <w:rsid w:val="005A38E6"/>
    <w:rsid w:val="005A7E8B"/>
    <w:rsid w:val="005B066C"/>
    <w:rsid w:val="005B102E"/>
    <w:rsid w:val="005B2869"/>
    <w:rsid w:val="005B5196"/>
    <w:rsid w:val="005B5D44"/>
    <w:rsid w:val="005B6063"/>
    <w:rsid w:val="005B67B3"/>
    <w:rsid w:val="005B72C6"/>
    <w:rsid w:val="005C05F5"/>
    <w:rsid w:val="005C0D06"/>
    <w:rsid w:val="005C1438"/>
    <w:rsid w:val="005C2536"/>
    <w:rsid w:val="005C287A"/>
    <w:rsid w:val="005C3E0D"/>
    <w:rsid w:val="005C60A1"/>
    <w:rsid w:val="005D0AD7"/>
    <w:rsid w:val="005D2107"/>
    <w:rsid w:val="005D5CB6"/>
    <w:rsid w:val="005D701D"/>
    <w:rsid w:val="005D74E9"/>
    <w:rsid w:val="005D7941"/>
    <w:rsid w:val="005E0D83"/>
    <w:rsid w:val="005E140B"/>
    <w:rsid w:val="005E4DA0"/>
    <w:rsid w:val="005E6AC6"/>
    <w:rsid w:val="005F2478"/>
    <w:rsid w:val="005F36CE"/>
    <w:rsid w:val="005F37CA"/>
    <w:rsid w:val="005F3E9A"/>
    <w:rsid w:val="005F3F6D"/>
    <w:rsid w:val="005F5833"/>
    <w:rsid w:val="005F5C0C"/>
    <w:rsid w:val="005F7DB1"/>
    <w:rsid w:val="00601774"/>
    <w:rsid w:val="00605F2C"/>
    <w:rsid w:val="00607238"/>
    <w:rsid w:val="00610DEE"/>
    <w:rsid w:val="00611205"/>
    <w:rsid w:val="006126CB"/>
    <w:rsid w:val="0061298D"/>
    <w:rsid w:val="00617757"/>
    <w:rsid w:val="00623E33"/>
    <w:rsid w:val="006272FD"/>
    <w:rsid w:val="006335E8"/>
    <w:rsid w:val="00634AB4"/>
    <w:rsid w:val="00636339"/>
    <w:rsid w:val="00637510"/>
    <w:rsid w:val="00637DD5"/>
    <w:rsid w:val="00640D83"/>
    <w:rsid w:val="00644E97"/>
    <w:rsid w:val="00645263"/>
    <w:rsid w:val="00645612"/>
    <w:rsid w:val="00647925"/>
    <w:rsid w:val="00650FB3"/>
    <w:rsid w:val="00651F06"/>
    <w:rsid w:val="0065214B"/>
    <w:rsid w:val="00652D5C"/>
    <w:rsid w:val="00653C90"/>
    <w:rsid w:val="00654DC4"/>
    <w:rsid w:val="0065581C"/>
    <w:rsid w:val="00655F1B"/>
    <w:rsid w:val="0065695C"/>
    <w:rsid w:val="006570F0"/>
    <w:rsid w:val="0065775D"/>
    <w:rsid w:val="00660756"/>
    <w:rsid w:val="00660C22"/>
    <w:rsid w:val="0066138B"/>
    <w:rsid w:val="00662C8A"/>
    <w:rsid w:val="00664450"/>
    <w:rsid w:val="00664F70"/>
    <w:rsid w:val="00672053"/>
    <w:rsid w:val="00674885"/>
    <w:rsid w:val="00683A02"/>
    <w:rsid w:val="006843C6"/>
    <w:rsid w:val="00685D20"/>
    <w:rsid w:val="00690761"/>
    <w:rsid w:val="00692022"/>
    <w:rsid w:val="00693059"/>
    <w:rsid w:val="0069475C"/>
    <w:rsid w:val="00695C8D"/>
    <w:rsid w:val="0069608C"/>
    <w:rsid w:val="00696E16"/>
    <w:rsid w:val="006A2375"/>
    <w:rsid w:val="006A2ECC"/>
    <w:rsid w:val="006A3395"/>
    <w:rsid w:val="006A3B78"/>
    <w:rsid w:val="006A58A0"/>
    <w:rsid w:val="006B0EED"/>
    <w:rsid w:val="006B10F7"/>
    <w:rsid w:val="006B333B"/>
    <w:rsid w:val="006B3555"/>
    <w:rsid w:val="006B3A88"/>
    <w:rsid w:val="006B5CE6"/>
    <w:rsid w:val="006C1AFE"/>
    <w:rsid w:val="006C4C21"/>
    <w:rsid w:val="006C5174"/>
    <w:rsid w:val="006D35A3"/>
    <w:rsid w:val="006D4459"/>
    <w:rsid w:val="006D503B"/>
    <w:rsid w:val="006D6636"/>
    <w:rsid w:val="006D72D5"/>
    <w:rsid w:val="006E0837"/>
    <w:rsid w:val="006E1447"/>
    <w:rsid w:val="006E56B0"/>
    <w:rsid w:val="006E5E35"/>
    <w:rsid w:val="006F0BCF"/>
    <w:rsid w:val="006F2AD7"/>
    <w:rsid w:val="006F4DC8"/>
    <w:rsid w:val="006F4EF2"/>
    <w:rsid w:val="006F6373"/>
    <w:rsid w:val="006F6578"/>
    <w:rsid w:val="006F6964"/>
    <w:rsid w:val="006F7F23"/>
    <w:rsid w:val="00701479"/>
    <w:rsid w:val="007014D5"/>
    <w:rsid w:val="007073CF"/>
    <w:rsid w:val="00710F58"/>
    <w:rsid w:val="00711BF9"/>
    <w:rsid w:val="0071480E"/>
    <w:rsid w:val="00715140"/>
    <w:rsid w:val="00724920"/>
    <w:rsid w:val="00724F68"/>
    <w:rsid w:val="0072574C"/>
    <w:rsid w:val="00726791"/>
    <w:rsid w:val="00726841"/>
    <w:rsid w:val="00730075"/>
    <w:rsid w:val="00731264"/>
    <w:rsid w:val="007331D5"/>
    <w:rsid w:val="00734442"/>
    <w:rsid w:val="007352E2"/>
    <w:rsid w:val="0073545F"/>
    <w:rsid w:val="007366BC"/>
    <w:rsid w:val="00736753"/>
    <w:rsid w:val="007373B3"/>
    <w:rsid w:val="00741FBD"/>
    <w:rsid w:val="00742160"/>
    <w:rsid w:val="007434B9"/>
    <w:rsid w:val="00745B73"/>
    <w:rsid w:val="00747181"/>
    <w:rsid w:val="00747201"/>
    <w:rsid w:val="00750602"/>
    <w:rsid w:val="007511AA"/>
    <w:rsid w:val="00752ED6"/>
    <w:rsid w:val="0075357C"/>
    <w:rsid w:val="00754025"/>
    <w:rsid w:val="0076092D"/>
    <w:rsid w:val="00763C42"/>
    <w:rsid w:val="00763DBE"/>
    <w:rsid w:val="00765CE8"/>
    <w:rsid w:val="007660B8"/>
    <w:rsid w:val="007704D5"/>
    <w:rsid w:val="00770CFE"/>
    <w:rsid w:val="007744F4"/>
    <w:rsid w:val="007745C4"/>
    <w:rsid w:val="0077739D"/>
    <w:rsid w:val="00780F2A"/>
    <w:rsid w:val="00781D79"/>
    <w:rsid w:val="00782AE0"/>
    <w:rsid w:val="00782D2C"/>
    <w:rsid w:val="00783225"/>
    <w:rsid w:val="007839E5"/>
    <w:rsid w:val="007842E9"/>
    <w:rsid w:val="00786D49"/>
    <w:rsid w:val="007877F1"/>
    <w:rsid w:val="00790C28"/>
    <w:rsid w:val="00792FF4"/>
    <w:rsid w:val="0079560D"/>
    <w:rsid w:val="00796D58"/>
    <w:rsid w:val="00797043"/>
    <w:rsid w:val="007A14DA"/>
    <w:rsid w:val="007A4003"/>
    <w:rsid w:val="007A59AB"/>
    <w:rsid w:val="007A5B3E"/>
    <w:rsid w:val="007A7579"/>
    <w:rsid w:val="007B0E0A"/>
    <w:rsid w:val="007B1EC9"/>
    <w:rsid w:val="007B3FD3"/>
    <w:rsid w:val="007B6EBF"/>
    <w:rsid w:val="007C1862"/>
    <w:rsid w:val="007C3B6F"/>
    <w:rsid w:val="007C6B98"/>
    <w:rsid w:val="007D07E8"/>
    <w:rsid w:val="007D5B61"/>
    <w:rsid w:val="007E42E3"/>
    <w:rsid w:val="007E50A5"/>
    <w:rsid w:val="007E50B6"/>
    <w:rsid w:val="007E6A74"/>
    <w:rsid w:val="007F2399"/>
    <w:rsid w:val="008036AD"/>
    <w:rsid w:val="00804A20"/>
    <w:rsid w:val="00804F4A"/>
    <w:rsid w:val="00806F1B"/>
    <w:rsid w:val="00806FCB"/>
    <w:rsid w:val="00807124"/>
    <w:rsid w:val="0080795B"/>
    <w:rsid w:val="00810166"/>
    <w:rsid w:val="008158DF"/>
    <w:rsid w:val="00815A03"/>
    <w:rsid w:val="00817871"/>
    <w:rsid w:val="00817B96"/>
    <w:rsid w:val="0082012D"/>
    <w:rsid w:val="00820190"/>
    <w:rsid w:val="00822ECE"/>
    <w:rsid w:val="00824C79"/>
    <w:rsid w:val="00825912"/>
    <w:rsid w:val="00826C26"/>
    <w:rsid w:val="00830EAA"/>
    <w:rsid w:val="008327D5"/>
    <w:rsid w:val="00834010"/>
    <w:rsid w:val="008356A5"/>
    <w:rsid w:val="008363CE"/>
    <w:rsid w:val="008368C7"/>
    <w:rsid w:val="008403D7"/>
    <w:rsid w:val="00842BC8"/>
    <w:rsid w:val="00843856"/>
    <w:rsid w:val="0084488F"/>
    <w:rsid w:val="00846E07"/>
    <w:rsid w:val="00847FB6"/>
    <w:rsid w:val="008523B3"/>
    <w:rsid w:val="00852E11"/>
    <w:rsid w:val="00853FFE"/>
    <w:rsid w:val="00854536"/>
    <w:rsid w:val="00854D94"/>
    <w:rsid w:val="00855B2D"/>
    <w:rsid w:val="00855C59"/>
    <w:rsid w:val="00863938"/>
    <w:rsid w:val="00863E15"/>
    <w:rsid w:val="00864E48"/>
    <w:rsid w:val="00867D3A"/>
    <w:rsid w:val="008707BE"/>
    <w:rsid w:val="00873CBF"/>
    <w:rsid w:val="00874719"/>
    <w:rsid w:val="00874DEB"/>
    <w:rsid w:val="00875237"/>
    <w:rsid w:val="008808D0"/>
    <w:rsid w:val="00893506"/>
    <w:rsid w:val="00893ABE"/>
    <w:rsid w:val="00897AF7"/>
    <w:rsid w:val="008A13E9"/>
    <w:rsid w:val="008A1C73"/>
    <w:rsid w:val="008A21A7"/>
    <w:rsid w:val="008A224D"/>
    <w:rsid w:val="008A30EC"/>
    <w:rsid w:val="008A74EC"/>
    <w:rsid w:val="008B0AB0"/>
    <w:rsid w:val="008B295E"/>
    <w:rsid w:val="008B2E61"/>
    <w:rsid w:val="008B7B47"/>
    <w:rsid w:val="008C0469"/>
    <w:rsid w:val="008C14C5"/>
    <w:rsid w:val="008C181A"/>
    <w:rsid w:val="008C191A"/>
    <w:rsid w:val="008C2474"/>
    <w:rsid w:val="008C5853"/>
    <w:rsid w:val="008C6085"/>
    <w:rsid w:val="008C6AAF"/>
    <w:rsid w:val="008D0696"/>
    <w:rsid w:val="008D128E"/>
    <w:rsid w:val="008D2774"/>
    <w:rsid w:val="008D3014"/>
    <w:rsid w:val="008D440F"/>
    <w:rsid w:val="008D4A20"/>
    <w:rsid w:val="008D585E"/>
    <w:rsid w:val="008E1A71"/>
    <w:rsid w:val="008E647A"/>
    <w:rsid w:val="008E76DC"/>
    <w:rsid w:val="008E7DA4"/>
    <w:rsid w:val="008F1E15"/>
    <w:rsid w:val="008F32AE"/>
    <w:rsid w:val="008F5B3E"/>
    <w:rsid w:val="008F5F45"/>
    <w:rsid w:val="008F6B1F"/>
    <w:rsid w:val="00900F3E"/>
    <w:rsid w:val="009031A0"/>
    <w:rsid w:val="0090544D"/>
    <w:rsid w:val="009060DF"/>
    <w:rsid w:val="009061A5"/>
    <w:rsid w:val="009063F7"/>
    <w:rsid w:val="00907292"/>
    <w:rsid w:val="00907ECA"/>
    <w:rsid w:val="009105BE"/>
    <w:rsid w:val="00913C89"/>
    <w:rsid w:val="00915166"/>
    <w:rsid w:val="00915829"/>
    <w:rsid w:val="00923583"/>
    <w:rsid w:val="00924724"/>
    <w:rsid w:val="00925FF6"/>
    <w:rsid w:val="00933DDF"/>
    <w:rsid w:val="00934869"/>
    <w:rsid w:val="00934AE3"/>
    <w:rsid w:val="00935CAB"/>
    <w:rsid w:val="00935F35"/>
    <w:rsid w:val="009409F6"/>
    <w:rsid w:val="009412AB"/>
    <w:rsid w:val="009425A3"/>
    <w:rsid w:val="0094391F"/>
    <w:rsid w:val="0094472D"/>
    <w:rsid w:val="00944D5D"/>
    <w:rsid w:val="009455D1"/>
    <w:rsid w:val="00945789"/>
    <w:rsid w:val="00945C7D"/>
    <w:rsid w:val="0094700D"/>
    <w:rsid w:val="009525FF"/>
    <w:rsid w:val="00952E9E"/>
    <w:rsid w:val="00953D1A"/>
    <w:rsid w:val="009559AD"/>
    <w:rsid w:val="00962089"/>
    <w:rsid w:val="0096238F"/>
    <w:rsid w:val="00962AA9"/>
    <w:rsid w:val="00962CFF"/>
    <w:rsid w:val="00964071"/>
    <w:rsid w:val="00965667"/>
    <w:rsid w:val="00970E75"/>
    <w:rsid w:val="00971BCD"/>
    <w:rsid w:val="00977BDD"/>
    <w:rsid w:val="0098382D"/>
    <w:rsid w:val="00983900"/>
    <w:rsid w:val="00983A9E"/>
    <w:rsid w:val="00984600"/>
    <w:rsid w:val="00986A2C"/>
    <w:rsid w:val="00987609"/>
    <w:rsid w:val="00991D70"/>
    <w:rsid w:val="00992E7B"/>
    <w:rsid w:val="0099310A"/>
    <w:rsid w:val="00994529"/>
    <w:rsid w:val="00997EB3"/>
    <w:rsid w:val="009A0A6B"/>
    <w:rsid w:val="009A58ED"/>
    <w:rsid w:val="009B1213"/>
    <w:rsid w:val="009B207F"/>
    <w:rsid w:val="009B30A8"/>
    <w:rsid w:val="009B3631"/>
    <w:rsid w:val="009B42C9"/>
    <w:rsid w:val="009B6CA8"/>
    <w:rsid w:val="009B733F"/>
    <w:rsid w:val="009C1B06"/>
    <w:rsid w:val="009C536C"/>
    <w:rsid w:val="009C7B1C"/>
    <w:rsid w:val="009D1B6C"/>
    <w:rsid w:val="009D2C33"/>
    <w:rsid w:val="009D79C3"/>
    <w:rsid w:val="009E0BCE"/>
    <w:rsid w:val="009E27DE"/>
    <w:rsid w:val="009E2A14"/>
    <w:rsid w:val="009E2E5A"/>
    <w:rsid w:val="009E35E4"/>
    <w:rsid w:val="009E6CDC"/>
    <w:rsid w:val="009E73CD"/>
    <w:rsid w:val="009E7A9F"/>
    <w:rsid w:val="009E7CC2"/>
    <w:rsid w:val="009F1E68"/>
    <w:rsid w:val="009F4BDF"/>
    <w:rsid w:val="00A00875"/>
    <w:rsid w:val="00A02A3C"/>
    <w:rsid w:val="00A02E5E"/>
    <w:rsid w:val="00A04AF8"/>
    <w:rsid w:val="00A04FBD"/>
    <w:rsid w:val="00A112E0"/>
    <w:rsid w:val="00A11D93"/>
    <w:rsid w:val="00A12CBA"/>
    <w:rsid w:val="00A1307F"/>
    <w:rsid w:val="00A13E97"/>
    <w:rsid w:val="00A143C7"/>
    <w:rsid w:val="00A16F3C"/>
    <w:rsid w:val="00A1724B"/>
    <w:rsid w:val="00A22C20"/>
    <w:rsid w:val="00A22E43"/>
    <w:rsid w:val="00A22FA7"/>
    <w:rsid w:val="00A261CA"/>
    <w:rsid w:val="00A26534"/>
    <w:rsid w:val="00A30306"/>
    <w:rsid w:val="00A34804"/>
    <w:rsid w:val="00A36F43"/>
    <w:rsid w:val="00A41A0F"/>
    <w:rsid w:val="00A4308F"/>
    <w:rsid w:val="00A444E6"/>
    <w:rsid w:val="00A44CCE"/>
    <w:rsid w:val="00A453EE"/>
    <w:rsid w:val="00A45EDE"/>
    <w:rsid w:val="00A50AF5"/>
    <w:rsid w:val="00A57151"/>
    <w:rsid w:val="00A62286"/>
    <w:rsid w:val="00A63F08"/>
    <w:rsid w:val="00A64D1E"/>
    <w:rsid w:val="00A66703"/>
    <w:rsid w:val="00A67D2C"/>
    <w:rsid w:val="00A72070"/>
    <w:rsid w:val="00A72826"/>
    <w:rsid w:val="00A731F5"/>
    <w:rsid w:val="00A7490F"/>
    <w:rsid w:val="00A74C70"/>
    <w:rsid w:val="00A7553A"/>
    <w:rsid w:val="00A85459"/>
    <w:rsid w:val="00A86D15"/>
    <w:rsid w:val="00A86D2E"/>
    <w:rsid w:val="00A8707C"/>
    <w:rsid w:val="00A95DD7"/>
    <w:rsid w:val="00A96586"/>
    <w:rsid w:val="00A96A74"/>
    <w:rsid w:val="00A96A75"/>
    <w:rsid w:val="00AA1FF2"/>
    <w:rsid w:val="00AA2BD2"/>
    <w:rsid w:val="00AA3793"/>
    <w:rsid w:val="00AA4905"/>
    <w:rsid w:val="00AA4F69"/>
    <w:rsid w:val="00AB700F"/>
    <w:rsid w:val="00AB7990"/>
    <w:rsid w:val="00AD00C9"/>
    <w:rsid w:val="00AD0E7D"/>
    <w:rsid w:val="00AD21BE"/>
    <w:rsid w:val="00AD653B"/>
    <w:rsid w:val="00AE1B73"/>
    <w:rsid w:val="00AE1D7F"/>
    <w:rsid w:val="00AE1D88"/>
    <w:rsid w:val="00AE2328"/>
    <w:rsid w:val="00AE2F3B"/>
    <w:rsid w:val="00AE5865"/>
    <w:rsid w:val="00AE6AAF"/>
    <w:rsid w:val="00AF4FF5"/>
    <w:rsid w:val="00AF5FAD"/>
    <w:rsid w:val="00AF69DA"/>
    <w:rsid w:val="00AF72BE"/>
    <w:rsid w:val="00AF792F"/>
    <w:rsid w:val="00AF7D62"/>
    <w:rsid w:val="00B0100D"/>
    <w:rsid w:val="00B04012"/>
    <w:rsid w:val="00B04704"/>
    <w:rsid w:val="00B05760"/>
    <w:rsid w:val="00B05A39"/>
    <w:rsid w:val="00B06195"/>
    <w:rsid w:val="00B069CD"/>
    <w:rsid w:val="00B0764D"/>
    <w:rsid w:val="00B0792B"/>
    <w:rsid w:val="00B100DD"/>
    <w:rsid w:val="00B116A6"/>
    <w:rsid w:val="00B12C58"/>
    <w:rsid w:val="00B13BE4"/>
    <w:rsid w:val="00B142FF"/>
    <w:rsid w:val="00B1621C"/>
    <w:rsid w:val="00B1631D"/>
    <w:rsid w:val="00B1750A"/>
    <w:rsid w:val="00B202C6"/>
    <w:rsid w:val="00B203E3"/>
    <w:rsid w:val="00B204A7"/>
    <w:rsid w:val="00B214A2"/>
    <w:rsid w:val="00B27FCF"/>
    <w:rsid w:val="00B303F5"/>
    <w:rsid w:val="00B32168"/>
    <w:rsid w:val="00B33710"/>
    <w:rsid w:val="00B34EDC"/>
    <w:rsid w:val="00B36155"/>
    <w:rsid w:val="00B371F2"/>
    <w:rsid w:val="00B423A6"/>
    <w:rsid w:val="00B430EA"/>
    <w:rsid w:val="00B43D5D"/>
    <w:rsid w:val="00B44972"/>
    <w:rsid w:val="00B45576"/>
    <w:rsid w:val="00B50B56"/>
    <w:rsid w:val="00B5156C"/>
    <w:rsid w:val="00B51D16"/>
    <w:rsid w:val="00B5343A"/>
    <w:rsid w:val="00B53746"/>
    <w:rsid w:val="00B61893"/>
    <w:rsid w:val="00B669AB"/>
    <w:rsid w:val="00B672EF"/>
    <w:rsid w:val="00B70EB1"/>
    <w:rsid w:val="00B711F3"/>
    <w:rsid w:val="00B71AA2"/>
    <w:rsid w:val="00B726FB"/>
    <w:rsid w:val="00B72DF4"/>
    <w:rsid w:val="00B7471D"/>
    <w:rsid w:val="00B75B34"/>
    <w:rsid w:val="00B7682B"/>
    <w:rsid w:val="00B7774C"/>
    <w:rsid w:val="00B826B4"/>
    <w:rsid w:val="00B8301F"/>
    <w:rsid w:val="00B85580"/>
    <w:rsid w:val="00B857DF"/>
    <w:rsid w:val="00B906D3"/>
    <w:rsid w:val="00B91B90"/>
    <w:rsid w:val="00B9428E"/>
    <w:rsid w:val="00B94FB8"/>
    <w:rsid w:val="00B95713"/>
    <w:rsid w:val="00B9608E"/>
    <w:rsid w:val="00B96FE8"/>
    <w:rsid w:val="00B97737"/>
    <w:rsid w:val="00BA2C32"/>
    <w:rsid w:val="00BA4030"/>
    <w:rsid w:val="00BA40A7"/>
    <w:rsid w:val="00BA6A8A"/>
    <w:rsid w:val="00BB0089"/>
    <w:rsid w:val="00BB16B4"/>
    <w:rsid w:val="00BB4896"/>
    <w:rsid w:val="00BB503F"/>
    <w:rsid w:val="00BB5182"/>
    <w:rsid w:val="00BB7098"/>
    <w:rsid w:val="00BB7C04"/>
    <w:rsid w:val="00BC0A19"/>
    <w:rsid w:val="00BC2D02"/>
    <w:rsid w:val="00BC33F4"/>
    <w:rsid w:val="00BC43B9"/>
    <w:rsid w:val="00BC57B9"/>
    <w:rsid w:val="00BC60DD"/>
    <w:rsid w:val="00BD5A05"/>
    <w:rsid w:val="00BD660E"/>
    <w:rsid w:val="00BE3E7E"/>
    <w:rsid w:val="00BE4243"/>
    <w:rsid w:val="00BE51FB"/>
    <w:rsid w:val="00BF1AFE"/>
    <w:rsid w:val="00BF3383"/>
    <w:rsid w:val="00BF35ED"/>
    <w:rsid w:val="00BF5E7A"/>
    <w:rsid w:val="00BF6413"/>
    <w:rsid w:val="00BF7D56"/>
    <w:rsid w:val="00C00A6D"/>
    <w:rsid w:val="00C044F2"/>
    <w:rsid w:val="00C0495D"/>
    <w:rsid w:val="00C12D53"/>
    <w:rsid w:val="00C1345F"/>
    <w:rsid w:val="00C20F27"/>
    <w:rsid w:val="00C21739"/>
    <w:rsid w:val="00C23494"/>
    <w:rsid w:val="00C23F32"/>
    <w:rsid w:val="00C31665"/>
    <w:rsid w:val="00C3256B"/>
    <w:rsid w:val="00C328E3"/>
    <w:rsid w:val="00C32B93"/>
    <w:rsid w:val="00C33BF0"/>
    <w:rsid w:val="00C37EF4"/>
    <w:rsid w:val="00C40D76"/>
    <w:rsid w:val="00C456AE"/>
    <w:rsid w:val="00C45D4E"/>
    <w:rsid w:val="00C45F3F"/>
    <w:rsid w:val="00C5054B"/>
    <w:rsid w:val="00C509C9"/>
    <w:rsid w:val="00C50D7D"/>
    <w:rsid w:val="00C512ED"/>
    <w:rsid w:val="00C53745"/>
    <w:rsid w:val="00C544EC"/>
    <w:rsid w:val="00C627A5"/>
    <w:rsid w:val="00C64CAC"/>
    <w:rsid w:val="00C66916"/>
    <w:rsid w:val="00C7136C"/>
    <w:rsid w:val="00C7388F"/>
    <w:rsid w:val="00C73E84"/>
    <w:rsid w:val="00C76461"/>
    <w:rsid w:val="00C76C2D"/>
    <w:rsid w:val="00C81403"/>
    <w:rsid w:val="00C929CB"/>
    <w:rsid w:val="00C94BA9"/>
    <w:rsid w:val="00C96FFE"/>
    <w:rsid w:val="00C97C1A"/>
    <w:rsid w:val="00CA03E2"/>
    <w:rsid w:val="00CA0AB0"/>
    <w:rsid w:val="00CA0F82"/>
    <w:rsid w:val="00CA25C1"/>
    <w:rsid w:val="00CA27EE"/>
    <w:rsid w:val="00CB2314"/>
    <w:rsid w:val="00CB59A4"/>
    <w:rsid w:val="00CB755B"/>
    <w:rsid w:val="00CB76D2"/>
    <w:rsid w:val="00CB7DDD"/>
    <w:rsid w:val="00CC26D1"/>
    <w:rsid w:val="00CC3619"/>
    <w:rsid w:val="00CC41E2"/>
    <w:rsid w:val="00CC548E"/>
    <w:rsid w:val="00CC6FB4"/>
    <w:rsid w:val="00CD26F6"/>
    <w:rsid w:val="00CD273F"/>
    <w:rsid w:val="00CD550C"/>
    <w:rsid w:val="00CE014B"/>
    <w:rsid w:val="00CE35CF"/>
    <w:rsid w:val="00CE47DF"/>
    <w:rsid w:val="00CE4A7A"/>
    <w:rsid w:val="00CE4F98"/>
    <w:rsid w:val="00CF0F7E"/>
    <w:rsid w:val="00D029DB"/>
    <w:rsid w:val="00D02B9A"/>
    <w:rsid w:val="00D04239"/>
    <w:rsid w:val="00D11001"/>
    <w:rsid w:val="00D20E57"/>
    <w:rsid w:val="00D23DB5"/>
    <w:rsid w:val="00D24E58"/>
    <w:rsid w:val="00D25196"/>
    <w:rsid w:val="00D32C54"/>
    <w:rsid w:val="00D34482"/>
    <w:rsid w:val="00D344D1"/>
    <w:rsid w:val="00D34658"/>
    <w:rsid w:val="00D35DFF"/>
    <w:rsid w:val="00D368DF"/>
    <w:rsid w:val="00D37070"/>
    <w:rsid w:val="00D424F2"/>
    <w:rsid w:val="00D4537E"/>
    <w:rsid w:val="00D50F5D"/>
    <w:rsid w:val="00D515D2"/>
    <w:rsid w:val="00D526AE"/>
    <w:rsid w:val="00D53066"/>
    <w:rsid w:val="00D533EA"/>
    <w:rsid w:val="00D53B97"/>
    <w:rsid w:val="00D54253"/>
    <w:rsid w:val="00D5542E"/>
    <w:rsid w:val="00D55D48"/>
    <w:rsid w:val="00D60E1A"/>
    <w:rsid w:val="00D62095"/>
    <w:rsid w:val="00D62485"/>
    <w:rsid w:val="00D62A74"/>
    <w:rsid w:val="00D66A3D"/>
    <w:rsid w:val="00D703E9"/>
    <w:rsid w:val="00D715EE"/>
    <w:rsid w:val="00D73F62"/>
    <w:rsid w:val="00D74428"/>
    <w:rsid w:val="00D744E0"/>
    <w:rsid w:val="00D7456F"/>
    <w:rsid w:val="00D74A57"/>
    <w:rsid w:val="00D75141"/>
    <w:rsid w:val="00D8007D"/>
    <w:rsid w:val="00D80761"/>
    <w:rsid w:val="00D826FD"/>
    <w:rsid w:val="00D847A0"/>
    <w:rsid w:val="00D85ED7"/>
    <w:rsid w:val="00D86F66"/>
    <w:rsid w:val="00D95206"/>
    <w:rsid w:val="00D96A09"/>
    <w:rsid w:val="00DA12A1"/>
    <w:rsid w:val="00DA154B"/>
    <w:rsid w:val="00DA2821"/>
    <w:rsid w:val="00DA2AB6"/>
    <w:rsid w:val="00DA3932"/>
    <w:rsid w:val="00DA5F53"/>
    <w:rsid w:val="00DB09DA"/>
    <w:rsid w:val="00DB2219"/>
    <w:rsid w:val="00DB38B1"/>
    <w:rsid w:val="00DB45FC"/>
    <w:rsid w:val="00DB49F1"/>
    <w:rsid w:val="00DB6255"/>
    <w:rsid w:val="00DB626C"/>
    <w:rsid w:val="00DB6370"/>
    <w:rsid w:val="00DC1761"/>
    <w:rsid w:val="00DC2623"/>
    <w:rsid w:val="00DC33AC"/>
    <w:rsid w:val="00DC73EF"/>
    <w:rsid w:val="00DD3168"/>
    <w:rsid w:val="00DD5F29"/>
    <w:rsid w:val="00DE020E"/>
    <w:rsid w:val="00DE1692"/>
    <w:rsid w:val="00DE256B"/>
    <w:rsid w:val="00DE2CFB"/>
    <w:rsid w:val="00DE3901"/>
    <w:rsid w:val="00DE5922"/>
    <w:rsid w:val="00DE65E9"/>
    <w:rsid w:val="00DF0B10"/>
    <w:rsid w:val="00DF227D"/>
    <w:rsid w:val="00DF5D5A"/>
    <w:rsid w:val="00DF646E"/>
    <w:rsid w:val="00E022C7"/>
    <w:rsid w:val="00E03AC3"/>
    <w:rsid w:val="00E03E6E"/>
    <w:rsid w:val="00E044A8"/>
    <w:rsid w:val="00E05485"/>
    <w:rsid w:val="00E117D4"/>
    <w:rsid w:val="00E11D9B"/>
    <w:rsid w:val="00E1450B"/>
    <w:rsid w:val="00E14B81"/>
    <w:rsid w:val="00E15099"/>
    <w:rsid w:val="00E16374"/>
    <w:rsid w:val="00E16E61"/>
    <w:rsid w:val="00E17740"/>
    <w:rsid w:val="00E17C42"/>
    <w:rsid w:val="00E17DE1"/>
    <w:rsid w:val="00E21144"/>
    <w:rsid w:val="00E21AD2"/>
    <w:rsid w:val="00E23350"/>
    <w:rsid w:val="00E23766"/>
    <w:rsid w:val="00E239CA"/>
    <w:rsid w:val="00E26812"/>
    <w:rsid w:val="00E3191F"/>
    <w:rsid w:val="00E32182"/>
    <w:rsid w:val="00E32909"/>
    <w:rsid w:val="00E32FEE"/>
    <w:rsid w:val="00E33FB1"/>
    <w:rsid w:val="00E36C5F"/>
    <w:rsid w:val="00E40045"/>
    <w:rsid w:val="00E41D07"/>
    <w:rsid w:val="00E44A29"/>
    <w:rsid w:val="00E47501"/>
    <w:rsid w:val="00E47D89"/>
    <w:rsid w:val="00E47E2F"/>
    <w:rsid w:val="00E51390"/>
    <w:rsid w:val="00E518C6"/>
    <w:rsid w:val="00E539B8"/>
    <w:rsid w:val="00E5665A"/>
    <w:rsid w:val="00E5706E"/>
    <w:rsid w:val="00E60D5A"/>
    <w:rsid w:val="00E61C90"/>
    <w:rsid w:val="00E62556"/>
    <w:rsid w:val="00E627CE"/>
    <w:rsid w:val="00E62CFD"/>
    <w:rsid w:val="00E63540"/>
    <w:rsid w:val="00E67207"/>
    <w:rsid w:val="00E70759"/>
    <w:rsid w:val="00E70F3D"/>
    <w:rsid w:val="00E71FE0"/>
    <w:rsid w:val="00E750A6"/>
    <w:rsid w:val="00E75176"/>
    <w:rsid w:val="00E75B4E"/>
    <w:rsid w:val="00E86630"/>
    <w:rsid w:val="00E873FF"/>
    <w:rsid w:val="00E87626"/>
    <w:rsid w:val="00E87A16"/>
    <w:rsid w:val="00E90EC5"/>
    <w:rsid w:val="00E9462D"/>
    <w:rsid w:val="00E972AB"/>
    <w:rsid w:val="00E97485"/>
    <w:rsid w:val="00E976CA"/>
    <w:rsid w:val="00EA01AA"/>
    <w:rsid w:val="00EA1D68"/>
    <w:rsid w:val="00EA492A"/>
    <w:rsid w:val="00EA665E"/>
    <w:rsid w:val="00EB5D56"/>
    <w:rsid w:val="00EB73E2"/>
    <w:rsid w:val="00EC0AF2"/>
    <w:rsid w:val="00EC0FD7"/>
    <w:rsid w:val="00ED1821"/>
    <w:rsid w:val="00ED2682"/>
    <w:rsid w:val="00ED4A23"/>
    <w:rsid w:val="00ED6A99"/>
    <w:rsid w:val="00ED7E67"/>
    <w:rsid w:val="00ED7F67"/>
    <w:rsid w:val="00EE0332"/>
    <w:rsid w:val="00EE17F7"/>
    <w:rsid w:val="00EE20F9"/>
    <w:rsid w:val="00EE46B3"/>
    <w:rsid w:val="00EE4F66"/>
    <w:rsid w:val="00EE612A"/>
    <w:rsid w:val="00EE6C48"/>
    <w:rsid w:val="00EE7C8D"/>
    <w:rsid w:val="00EF050B"/>
    <w:rsid w:val="00EF0F60"/>
    <w:rsid w:val="00EF10CD"/>
    <w:rsid w:val="00EF40D6"/>
    <w:rsid w:val="00EF4820"/>
    <w:rsid w:val="00EF5668"/>
    <w:rsid w:val="00EF569C"/>
    <w:rsid w:val="00EF5AD8"/>
    <w:rsid w:val="00EF76BD"/>
    <w:rsid w:val="00EF76DE"/>
    <w:rsid w:val="00EF7BB0"/>
    <w:rsid w:val="00F02572"/>
    <w:rsid w:val="00F051C3"/>
    <w:rsid w:val="00F05461"/>
    <w:rsid w:val="00F05CEC"/>
    <w:rsid w:val="00F075D1"/>
    <w:rsid w:val="00F10C9A"/>
    <w:rsid w:val="00F12318"/>
    <w:rsid w:val="00F13194"/>
    <w:rsid w:val="00F1467B"/>
    <w:rsid w:val="00F155E0"/>
    <w:rsid w:val="00F16D61"/>
    <w:rsid w:val="00F20325"/>
    <w:rsid w:val="00F203B3"/>
    <w:rsid w:val="00F21105"/>
    <w:rsid w:val="00F21616"/>
    <w:rsid w:val="00F236C2"/>
    <w:rsid w:val="00F23AC1"/>
    <w:rsid w:val="00F24861"/>
    <w:rsid w:val="00F27365"/>
    <w:rsid w:val="00F327ED"/>
    <w:rsid w:val="00F32AA7"/>
    <w:rsid w:val="00F337E5"/>
    <w:rsid w:val="00F3423E"/>
    <w:rsid w:val="00F345A5"/>
    <w:rsid w:val="00F35315"/>
    <w:rsid w:val="00F35700"/>
    <w:rsid w:val="00F414E6"/>
    <w:rsid w:val="00F41F14"/>
    <w:rsid w:val="00F4535D"/>
    <w:rsid w:val="00F46098"/>
    <w:rsid w:val="00F52047"/>
    <w:rsid w:val="00F530E5"/>
    <w:rsid w:val="00F6430F"/>
    <w:rsid w:val="00F6526C"/>
    <w:rsid w:val="00F67005"/>
    <w:rsid w:val="00F71750"/>
    <w:rsid w:val="00F71CE2"/>
    <w:rsid w:val="00F7265C"/>
    <w:rsid w:val="00F75788"/>
    <w:rsid w:val="00F77329"/>
    <w:rsid w:val="00F804AA"/>
    <w:rsid w:val="00F82629"/>
    <w:rsid w:val="00F83E33"/>
    <w:rsid w:val="00F91E6B"/>
    <w:rsid w:val="00F94CE3"/>
    <w:rsid w:val="00F94EF0"/>
    <w:rsid w:val="00F94F63"/>
    <w:rsid w:val="00F954B3"/>
    <w:rsid w:val="00F96757"/>
    <w:rsid w:val="00F97131"/>
    <w:rsid w:val="00F97B01"/>
    <w:rsid w:val="00FA2FD9"/>
    <w:rsid w:val="00FA43B0"/>
    <w:rsid w:val="00FA6E35"/>
    <w:rsid w:val="00FA7A0F"/>
    <w:rsid w:val="00FB10C1"/>
    <w:rsid w:val="00FB164B"/>
    <w:rsid w:val="00FB1EFE"/>
    <w:rsid w:val="00FB37E5"/>
    <w:rsid w:val="00FB50E2"/>
    <w:rsid w:val="00FB5B13"/>
    <w:rsid w:val="00FB766D"/>
    <w:rsid w:val="00FC07A6"/>
    <w:rsid w:val="00FC3376"/>
    <w:rsid w:val="00FC5E8A"/>
    <w:rsid w:val="00FC759A"/>
    <w:rsid w:val="00FD1212"/>
    <w:rsid w:val="00FD2042"/>
    <w:rsid w:val="00FD2534"/>
    <w:rsid w:val="00FD53CD"/>
    <w:rsid w:val="00FD673D"/>
    <w:rsid w:val="00FD7661"/>
    <w:rsid w:val="00FD7C66"/>
    <w:rsid w:val="00FE37B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A7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CE4A7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CE4A7A"/>
    <w:rPr>
      <w:rFonts w:cs="Times New Roman"/>
      <w:color w:val="0000FF"/>
      <w:u w:val="single"/>
    </w:rPr>
  </w:style>
  <w:style w:type="paragraph" w:customStyle="1" w:styleId="ConsPlusNormal">
    <w:name w:val="ConsPlusNormal"/>
    <w:rsid w:val="00CE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uiPriority w:val="99"/>
    <w:rsid w:val="00CE4A7A"/>
    <w:rPr>
      <w:rFonts w:eastAsia="Arial Unicode MS"/>
      <w:color w:val="0000FF"/>
      <w:sz w:val="20"/>
      <w:u w:val="single"/>
    </w:rPr>
  </w:style>
  <w:style w:type="paragraph" w:styleId="a6">
    <w:name w:val="List Paragraph"/>
    <w:basedOn w:val="a"/>
    <w:qFormat/>
    <w:rsid w:val="00CE4A7A"/>
    <w:pPr>
      <w:ind w:left="720"/>
      <w:contextualSpacing/>
    </w:pPr>
    <w:rPr>
      <w:szCs w:val="20"/>
    </w:rPr>
  </w:style>
  <w:style w:type="table" w:styleId="a7">
    <w:name w:val="Table Grid"/>
    <w:basedOn w:val="a1"/>
    <w:uiPriority w:val="39"/>
    <w:rsid w:val="002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73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E73CD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830EAA"/>
    <w:rPr>
      <w:color w:val="106BBE"/>
    </w:rPr>
  </w:style>
  <w:style w:type="paragraph" w:styleId="af">
    <w:name w:val="Body Text"/>
    <w:basedOn w:val="a"/>
    <w:link w:val="af0"/>
    <w:unhideWhenUsed/>
    <w:rsid w:val="00986A2C"/>
    <w:pPr>
      <w:jc w:val="both"/>
    </w:pPr>
  </w:style>
  <w:style w:type="character" w:customStyle="1" w:styleId="af0">
    <w:name w:val="Основной текст Знак"/>
    <w:link w:val="af"/>
    <w:rsid w:val="00986A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A7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CE4A7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CE4A7A"/>
    <w:rPr>
      <w:rFonts w:cs="Times New Roman"/>
      <w:color w:val="0000FF"/>
      <w:u w:val="single"/>
    </w:rPr>
  </w:style>
  <w:style w:type="paragraph" w:customStyle="1" w:styleId="ConsPlusNormal">
    <w:name w:val="ConsPlusNormal"/>
    <w:rsid w:val="00CE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uiPriority w:val="99"/>
    <w:rsid w:val="00CE4A7A"/>
    <w:rPr>
      <w:rFonts w:eastAsia="Arial Unicode MS"/>
      <w:color w:val="0000FF"/>
      <w:sz w:val="20"/>
      <w:u w:val="single"/>
    </w:rPr>
  </w:style>
  <w:style w:type="paragraph" w:styleId="a6">
    <w:name w:val="List Paragraph"/>
    <w:basedOn w:val="a"/>
    <w:qFormat/>
    <w:rsid w:val="00CE4A7A"/>
    <w:pPr>
      <w:ind w:left="720"/>
      <w:contextualSpacing/>
    </w:pPr>
    <w:rPr>
      <w:szCs w:val="20"/>
    </w:rPr>
  </w:style>
  <w:style w:type="table" w:styleId="a7">
    <w:name w:val="Table Grid"/>
    <w:basedOn w:val="a1"/>
    <w:uiPriority w:val="39"/>
    <w:rsid w:val="002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E73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E73CD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830EAA"/>
    <w:rPr>
      <w:color w:val="106BBE"/>
    </w:rPr>
  </w:style>
  <w:style w:type="paragraph" w:styleId="af">
    <w:name w:val="Body Text"/>
    <w:basedOn w:val="a"/>
    <w:link w:val="af0"/>
    <w:unhideWhenUsed/>
    <w:rsid w:val="00986A2C"/>
    <w:pPr>
      <w:jc w:val="both"/>
    </w:pPr>
  </w:style>
  <w:style w:type="character" w:customStyle="1" w:styleId="af0">
    <w:name w:val="Основной текст Знак"/>
    <w:link w:val="af"/>
    <w:rsid w:val="00986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A912-ACF9-4265-8C33-158B5BF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7</Pages>
  <Words>1933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37</cp:revision>
  <cp:lastPrinted>2018-11-15T13:32:00Z</cp:lastPrinted>
  <dcterms:created xsi:type="dcterms:W3CDTF">2018-10-19T11:33:00Z</dcterms:created>
  <dcterms:modified xsi:type="dcterms:W3CDTF">2018-11-15T13:45:00Z</dcterms:modified>
</cp:coreProperties>
</file>